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医院等级评审精细化管理系统参数</w:t>
      </w:r>
    </w:p>
    <w:p>
      <w:pPr>
        <w:spacing w:line="520" w:lineRule="exact"/>
        <w:ind w:firstLine="640" w:firstLineChars="200"/>
        <w:rPr>
          <w:rFonts w:ascii="黑体" w:hAnsi="黑体" w:eastAsia="黑体" w:cs="黑体"/>
          <w:sz w:val="32"/>
          <w:szCs w:val="32"/>
        </w:rPr>
      </w:pPr>
    </w:p>
    <w:p>
      <w:pPr>
        <w:spacing w:line="520" w:lineRule="exact"/>
        <w:ind w:firstLine="640" w:firstLineChars="200"/>
        <w:rPr>
          <w:sz w:val="32"/>
          <w:szCs w:val="32"/>
        </w:rPr>
      </w:pPr>
      <w:r>
        <w:rPr>
          <w:rFonts w:hint="eastAsia" w:ascii="黑体" w:hAnsi="黑体" w:eastAsia="黑体" w:cs="黑体"/>
          <w:sz w:val="32"/>
          <w:szCs w:val="32"/>
        </w:rPr>
        <w:t>一、项目要求及配置清单</w:t>
      </w:r>
    </w:p>
    <w:p>
      <w:pPr>
        <w:spacing w:line="520" w:lineRule="exact"/>
        <w:ind w:firstLine="640" w:firstLineChars="200"/>
        <w:rPr>
          <w:rFonts w:ascii="楷体" w:hAnsi="楷体" w:eastAsia="楷体" w:cs="楷体"/>
          <w:sz w:val="32"/>
          <w:szCs w:val="32"/>
        </w:rPr>
      </w:pPr>
      <w:r>
        <w:rPr>
          <w:rFonts w:hint="eastAsia" w:ascii="楷体" w:hAnsi="楷体" w:eastAsia="楷体" w:cs="楷体"/>
          <w:sz w:val="32"/>
          <w:szCs w:val="32"/>
        </w:rPr>
        <w:t>（一）指导医院建立符合三级医院要求的现代医院质量管理体系</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三级医院评审标准（2022年版）湖南省实施细则》（下称《湖南评审细则》），结合医院实际，指导医院建设覆盖医院质量全过程的质量体系和指标体系，主要建设项目包括：制度（标准）体系、组织体系（含质量体系架构及人员岗位职责）、指标体系（主要针对《湖南评审细则》第二部分及国考指标）、考核体系（基于《湖南评审细则》）、持续改进体系（管理工具的应用）、应急管理体系。</w:t>
      </w:r>
    </w:p>
    <w:p>
      <w:pPr>
        <w:spacing w:line="520" w:lineRule="exact"/>
        <w:ind w:firstLine="640" w:firstLineChars="200"/>
        <w:rPr>
          <w:rFonts w:ascii="楷体" w:hAnsi="楷体" w:eastAsia="楷体" w:cs="楷体"/>
          <w:sz w:val="32"/>
          <w:szCs w:val="32"/>
        </w:rPr>
      </w:pPr>
      <w:r>
        <w:rPr>
          <w:rFonts w:hint="eastAsia" w:ascii="楷体" w:hAnsi="楷体" w:eastAsia="楷体" w:cs="楷体"/>
          <w:sz w:val="32"/>
          <w:szCs w:val="32"/>
        </w:rPr>
        <w:t>（二）建设《湖南评审细则》精细化管理系统</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系统内置《湖南评审细则》条款要点及评审方法，提供三甲评审任务分工、科室自评、评审进度管理、评审文档管理、历史结果对比等功能。通过灵活的任务分工管理、可视化的自评过程管理，为医院等级评审工作的有序、高效开展提供有力支持。有效降低医院评审工作的繁琐与复杂性，减轻三甲办、内审组等评审人员负担，也让临床医务人员回归岗位。</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1.构建一套《湖南评审细则》第一部分前置条款与第三部分现场评审条款内容的体系。</w:t>
      </w:r>
    </w:p>
    <w:p>
      <w:pPr>
        <w:spacing w:line="52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sz w:val="32"/>
          <w:szCs w:val="32"/>
        </w:rPr>
        <w:t>2.系统可对该体系进行分工，分配至相关主管科室；</w:t>
      </w:r>
      <w:r>
        <w:rPr>
          <w:rFonts w:hint="eastAsia" w:ascii="仿宋_GB2312" w:hAnsi="仿宋_GB2312" w:eastAsia="仿宋_GB2312" w:cs="仿宋_GB2312"/>
          <w:color w:val="000000" w:themeColor="text1"/>
          <w:sz w:val="32"/>
          <w:szCs w:val="32"/>
          <w:highlight w:val="none"/>
          <w14:textFill>
            <w14:solidFill>
              <w14:schemeClr w14:val="tx1"/>
            </w14:solidFill>
          </w14:textFill>
        </w:rPr>
        <w:t>尤其具备对评审标准（湖南版）第二部分数据指标以及第三部分条款分科室分部门分权限进行录入、收集、整理、分析、评分、审核功能。</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3.系统应具备评审管理员、内审组、责任科室三种角色，且角色之间功能流程明确。</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4.条款可指定内审组与主办科室、评审点可指定多个责任科室；尤其具备对评审标准（湖南版）第三部分每一条款能提供对应法律法规、规章制度、诊疗指南、操作流程、行业标准、应急预案、评分表格等功能。</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5.责任科室可就本科室分配的工作内容勾选是否达到要求，可提交说明文字，可提交说明材料，可指出不符合要求的科室原因。</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6.系统应具备评审标准管理流程，可就评审标准实施细则发生的变化做及时更新。</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7.系统可查看和导出评审结果，结果样式以《湖南评审细则》发布内容为准。</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8.系统可生成自评报告，自评报告内容以《湖南评审细则》发布内容为准。</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9.系统具备公告管理与发布功能，可由评审管理员发布公告内容。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10.系统具备文件共享功能，可由指定权限的用户与角色上传文件供其他用户下载。</w:t>
      </w:r>
    </w:p>
    <w:p>
      <w:pPr>
        <w:spacing w:line="520" w:lineRule="exact"/>
        <w:ind w:firstLine="640" w:firstLineChars="200"/>
        <w:rPr>
          <w:rFonts w:ascii="楷体" w:hAnsi="楷体" w:eastAsia="楷体" w:cs="楷体"/>
          <w:sz w:val="32"/>
          <w:szCs w:val="32"/>
        </w:rPr>
      </w:pPr>
      <w:r>
        <w:rPr>
          <w:rFonts w:hint="eastAsia" w:ascii="楷体" w:hAnsi="楷体" w:eastAsia="楷体" w:cs="楷体"/>
          <w:sz w:val="32"/>
          <w:szCs w:val="32"/>
        </w:rPr>
        <w:t>（三）建设《湖南评审细则》第二部分医疗质量监测指标管理系统</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该系统主要支持《湖南评审细则》中第二部分医疗服务能力与质量安全监测数据中的指标体系的建立，并与院内系统数据对接的工作（接口问题可另议），具体需求如下：</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1.统一汇总《湖南评审细则》第二部分指标所需要的原始业务数据。</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2.对《湖南评审细则》指标体系明确详细统计口径、计算方法、所需基础元数据。</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3.按月度、季度、年度填报汇总全院及各个科室统计数据。</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4.对《湖南评审细则》的指标体系有数据基础展示包括但不局限于报表、图形。</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5.对数据有按时间、机构、病种、专业类别等多个维度的梳理。</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6.能灵活分配指标体系权限、数据的查看权限。</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7.支持手工录入。</w:t>
      </w:r>
    </w:p>
    <w:p>
      <w:pPr>
        <w:spacing w:line="520" w:lineRule="exact"/>
        <w:ind w:firstLine="640" w:firstLineChars="200"/>
        <w:rPr>
          <w:rFonts w:ascii="楷体" w:hAnsi="楷体" w:eastAsia="楷体" w:cs="楷体"/>
          <w:sz w:val="32"/>
          <w:szCs w:val="32"/>
        </w:rPr>
      </w:pPr>
      <w:r>
        <w:rPr>
          <w:rFonts w:hint="eastAsia" w:ascii="楷体" w:hAnsi="楷体" w:eastAsia="楷体" w:cs="楷体"/>
          <w:sz w:val="32"/>
          <w:szCs w:val="32"/>
        </w:rPr>
        <w:t>（四）项目实施时间</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要求有丰富项目实施开发人员进驻安装实施，实施时间为7个工作日，其后可以通过远程指导，确保体系建设符合要求。</w:t>
      </w:r>
    </w:p>
    <w:p>
      <w:pPr>
        <w:rPr>
          <w:b/>
          <w:bCs/>
          <w:sz w:val="36"/>
          <w:szCs w:val="36"/>
        </w:rPr>
      </w:pPr>
      <w:r>
        <w:rPr>
          <w:rFonts w:hint="eastAsia"/>
          <w:b/>
          <w:bCs/>
          <w:sz w:val="36"/>
          <w:szCs w:val="36"/>
        </w:rPr>
        <w:t>二、等级评审精细化管理系统相关参数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1691"/>
        <w:gridCol w:w="5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shd w:val="clear" w:color="auto" w:fill="auto"/>
          </w:tcPr>
          <w:p>
            <w:pPr>
              <w:rPr>
                <w:b/>
                <w:bCs/>
              </w:rPr>
            </w:pPr>
            <w:r>
              <w:rPr>
                <w:rFonts w:hint="eastAsia"/>
                <w:b/>
                <w:bCs/>
              </w:rPr>
              <w:t>模块名称</w:t>
            </w:r>
          </w:p>
        </w:tc>
        <w:tc>
          <w:tcPr>
            <w:tcW w:w="1691" w:type="dxa"/>
            <w:shd w:val="clear" w:color="auto" w:fill="auto"/>
          </w:tcPr>
          <w:p>
            <w:pPr>
              <w:rPr>
                <w:b/>
                <w:bCs/>
              </w:rPr>
            </w:pPr>
            <w:r>
              <w:rPr>
                <w:rFonts w:hint="eastAsia"/>
                <w:b/>
                <w:bCs/>
              </w:rPr>
              <w:t>功能名称</w:t>
            </w:r>
          </w:p>
        </w:tc>
        <w:tc>
          <w:tcPr>
            <w:tcW w:w="5077" w:type="dxa"/>
            <w:shd w:val="clear" w:color="auto" w:fill="auto"/>
          </w:tcPr>
          <w:p>
            <w:pPr>
              <w:rPr>
                <w:b/>
                <w:bCs/>
              </w:rPr>
            </w:pPr>
            <w:r>
              <w:rPr>
                <w:rFonts w:hint="eastAsia"/>
                <w:b/>
                <w:bCs/>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r>
              <w:rPr>
                <w:rFonts w:hint="eastAsia"/>
              </w:rPr>
              <w:t>首页</w:t>
            </w:r>
          </w:p>
        </w:tc>
        <w:tc>
          <w:tcPr>
            <w:tcW w:w="1691" w:type="dxa"/>
            <w:shd w:val="clear" w:color="auto" w:fill="auto"/>
          </w:tcPr>
          <w:p>
            <w:r>
              <w:rPr>
                <w:rFonts w:hint="eastAsia"/>
              </w:rPr>
              <w:t>快速查询</w:t>
            </w:r>
          </w:p>
        </w:tc>
        <w:tc>
          <w:tcPr>
            <w:tcW w:w="5077" w:type="dxa"/>
            <w:shd w:val="clear" w:color="auto" w:fill="auto"/>
          </w:tcPr>
          <w:p>
            <w:pPr>
              <w:numPr>
                <w:ilvl w:val="0"/>
                <w:numId w:val="1"/>
              </w:numPr>
            </w:pPr>
            <w:r>
              <w:rPr>
                <w:rFonts w:hint="eastAsia"/>
              </w:rPr>
              <w:t>系统要求支持在首页页面，通过关键字查询科室日常管理、等级评审管理的相关任务或细则。</w:t>
            </w:r>
          </w:p>
          <w:p>
            <w:pPr>
              <w:numPr>
                <w:ilvl w:val="0"/>
                <w:numId w:val="1"/>
              </w:numPr>
            </w:pPr>
            <w:r>
              <w:rPr>
                <w:rFonts w:hint="eastAsia"/>
              </w:rPr>
              <w:t>系统要求支持查看任务或细则的详细内容。</w:t>
            </w:r>
          </w:p>
          <w:p>
            <w:pPr>
              <w:numPr>
                <w:ilvl w:val="0"/>
                <w:numId w:val="1"/>
              </w:numPr>
            </w:pPr>
            <w:r>
              <w:rPr>
                <w:rFonts w:hint="eastAsia"/>
              </w:rPr>
              <w:t>系统要求支持切换查看相关查询结果的详细内容。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文件上传</w:t>
            </w:r>
          </w:p>
        </w:tc>
        <w:tc>
          <w:tcPr>
            <w:tcW w:w="5077" w:type="dxa"/>
            <w:shd w:val="clear" w:color="auto" w:fill="auto"/>
          </w:tcPr>
          <w:p>
            <w:pPr>
              <w:numPr>
                <w:ilvl w:val="0"/>
                <w:numId w:val="2"/>
              </w:numPr>
            </w:pPr>
            <w:r>
              <w:rPr>
                <w:rFonts w:hint="eastAsia"/>
              </w:rPr>
              <w:t>系统要求支持对同份/同批文件一次性上传至科室日常管理和等评评审管理中相应任务</w:t>
            </w:r>
            <w:r>
              <w:t>/</w:t>
            </w:r>
            <w:r>
              <w:rPr>
                <w:rFonts w:hint="eastAsia"/>
              </w:rPr>
              <w:t>细则的支撑材料页签中。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pPr>
              <w:jc w:val="left"/>
            </w:pPr>
            <w:r>
              <w:rPr>
                <w:rFonts w:hint="eastAsia"/>
              </w:rPr>
              <w:t>科室日常管理</w:t>
            </w:r>
          </w:p>
        </w:tc>
        <w:tc>
          <w:tcPr>
            <w:tcW w:w="1691" w:type="dxa"/>
            <w:shd w:val="clear" w:color="auto" w:fill="auto"/>
          </w:tcPr>
          <w:p>
            <w:r>
              <w:t>科室</w:t>
            </w:r>
            <w:r>
              <w:rPr>
                <w:rFonts w:hint="eastAsia"/>
              </w:rPr>
              <w:t>任务清单</w:t>
            </w:r>
          </w:p>
        </w:tc>
        <w:tc>
          <w:tcPr>
            <w:tcW w:w="5077" w:type="dxa"/>
            <w:shd w:val="clear" w:color="auto" w:fill="auto"/>
          </w:tcPr>
          <w:p>
            <w:pPr>
              <w:numPr>
                <w:ilvl w:val="0"/>
                <w:numId w:val="3"/>
              </w:numPr>
            </w:pPr>
            <w:r>
              <w:rPr>
                <w:rFonts w:hint="eastAsia"/>
              </w:rPr>
              <w:t>系统要求支持院内各个职能、临床等科室根据日常管理要求创建、发布任务清单。</w:t>
            </w:r>
          </w:p>
          <w:p>
            <w:pPr>
              <w:numPr>
                <w:ilvl w:val="0"/>
                <w:numId w:val="3"/>
              </w:numPr>
            </w:pPr>
            <w:r>
              <w:rPr>
                <w:rFonts w:hint="eastAsia"/>
              </w:rPr>
              <w:t>系统要求支持维护任务清单内的父子级关系、执行部门、执行频率、监管部门等信息。</w:t>
            </w:r>
          </w:p>
          <w:p>
            <w:pPr>
              <w:numPr>
                <w:ilvl w:val="0"/>
                <w:numId w:val="3"/>
              </w:numPr>
            </w:pPr>
            <w:r>
              <w:rPr>
                <w:rFonts w:hint="eastAsia"/>
              </w:rPr>
              <w:t>系统要求支持对已创建的任务清单暂停或删除。</w:t>
            </w:r>
          </w:p>
          <w:p>
            <w:pPr>
              <w:numPr>
                <w:ilvl w:val="0"/>
                <w:numId w:val="3"/>
              </w:numPr>
            </w:pPr>
            <w:r>
              <w:rPr>
                <w:rFonts w:hint="eastAsia"/>
              </w:rPr>
              <w:t>系统要求支持按权限</w:t>
            </w:r>
            <w:r>
              <w:t>查看</w:t>
            </w:r>
            <w:r>
              <w:rPr>
                <w:rFonts w:hint="eastAsia"/>
              </w:rPr>
              <w:t>各</w:t>
            </w:r>
            <w:r>
              <w:t>科室</w:t>
            </w:r>
            <w:r>
              <w:rPr>
                <w:rFonts w:hint="eastAsia"/>
              </w:rPr>
              <w:t>的</w:t>
            </w:r>
            <w:r>
              <w:t>日常</w:t>
            </w:r>
            <w:r>
              <w:rPr>
                <w:rFonts w:hint="eastAsia"/>
              </w:rPr>
              <w:t>任务清单。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t>科室资料管理</w:t>
            </w:r>
          </w:p>
        </w:tc>
        <w:tc>
          <w:tcPr>
            <w:tcW w:w="5077" w:type="dxa"/>
            <w:shd w:val="clear" w:color="auto" w:fill="auto"/>
          </w:tcPr>
          <w:p>
            <w:pPr>
              <w:numPr>
                <w:ilvl w:val="0"/>
                <w:numId w:val="4"/>
              </w:numPr>
            </w:pPr>
            <w:r>
              <w:rPr>
                <w:rFonts w:hint="eastAsia"/>
              </w:rPr>
              <w:t>系统要求支持按权限查看科室日常任务清单。</w:t>
            </w:r>
          </w:p>
          <w:p>
            <w:pPr>
              <w:numPr>
                <w:ilvl w:val="0"/>
                <w:numId w:val="4"/>
              </w:numPr>
            </w:pPr>
            <w:r>
              <w:rPr>
                <w:rFonts w:hint="eastAsia"/>
              </w:rPr>
              <w:t>系统要求支持对单/多条任务一次性上传单/多份资料文件。</w:t>
            </w:r>
          </w:p>
          <w:p>
            <w:pPr>
              <w:numPr>
                <w:ilvl w:val="0"/>
                <w:numId w:val="4"/>
              </w:numPr>
            </w:pPr>
            <w:r>
              <w:rPr>
                <w:rFonts w:hint="eastAsia"/>
              </w:rPr>
              <w:t>系统要求支持对单条或多条任务维护执行完成情况。</w:t>
            </w:r>
          </w:p>
          <w:p>
            <w:pPr>
              <w:numPr>
                <w:ilvl w:val="0"/>
                <w:numId w:val="4"/>
              </w:numPr>
            </w:pPr>
            <w:r>
              <w:rPr>
                <w:rFonts w:hint="eastAsia"/>
              </w:rPr>
              <w:t>系统要求支持查看任务的操作记录。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t>科室资料审核</w:t>
            </w:r>
          </w:p>
        </w:tc>
        <w:tc>
          <w:tcPr>
            <w:tcW w:w="5077" w:type="dxa"/>
            <w:shd w:val="clear" w:color="auto" w:fill="auto"/>
          </w:tcPr>
          <w:p>
            <w:pPr>
              <w:numPr>
                <w:ilvl w:val="0"/>
                <w:numId w:val="5"/>
              </w:numPr>
            </w:pPr>
            <w:r>
              <w:rPr>
                <w:rFonts w:hint="eastAsia"/>
              </w:rPr>
              <w:t>系统要求支持按监管权限查看所负责科室的任务清单资料。</w:t>
            </w:r>
          </w:p>
          <w:p>
            <w:pPr>
              <w:numPr>
                <w:ilvl w:val="0"/>
                <w:numId w:val="5"/>
              </w:numPr>
            </w:pPr>
            <w:r>
              <w:rPr>
                <w:rFonts w:hint="eastAsia"/>
              </w:rPr>
              <w:t>系统要求支持对任务清单内单/多份文件进行审核。</w:t>
            </w:r>
          </w:p>
          <w:p>
            <w:pPr>
              <w:numPr>
                <w:ilvl w:val="0"/>
                <w:numId w:val="5"/>
              </w:numPr>
            </w:pPr>
            <w:r>
              <w:rPr>
                <w:rFonts w:hint="eastAsia"/>
              </w:rPr>
              <w:t>系统要求支持对审核驳回的清单录入资料文件的问题，反馈给相关责任人员。</w:t>
            </w:r>
          </w:p>
          <w:p>
            <w:pPr>
              <w:numPr>
                <w:ilvl w:val="0"/>
                <w:numId w:val="5"/>
              </w:numPr>
            </w:pPr>
            <w:r>
              <w:rPr>
                <w:rFonts w:hint="eastAsia"/>
              </w:rPr>
              <w:t>系统要求支持对单/多条任务维护审核完成情况。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r>
              <w:rPr>
                <w:rFonts w:hint="eastAsia"/>
              </w:rPr>
              <w:t>等级评审管理</w:t>
            </w:r>
          </w:p>
        </w:tc>
        <w:tc>
          <w:tcPr>
            <w:tcW w:w="1691" w:type="dxa"/>
            <w:shd w:val="clear" w:color="auto" w:fill="auto"/>
          </w:tcPr>
          <w:p>
            <w:r>
              <w:rPr>
                <w:rFonts w:hint="eastAsia"/>
              </w:rPr>
              <w:t>评审细则维护</w:t>
            </w:r>
          </w:p>
        </w:tc>
        <w:tc>
          <w:tcPr>
            <w:tcW w:w="5077" w:type="dxa"/>
            <w:shd w:val="clear" w:color="auto" w:fill="auto"/>
          </w:tcPr>
          <w:p>
            <w:pPr>
              <w:numPr>
                <w:ilvl w:val="0"/>
                <w:numId w:val="6"/>
              </w:numPr>
            </w:pPr>
            <w:r>
              <w:rPr>
                <w:rFonts w:hint="eastAsia"/>
              </w:rPr>
              <w:t>系统要求支持按省份查看湖南省等级评审实施标准内第一部分和第三部分细则。</w:t>
            </w:r>
          </w:p>
          <w:p>
            <w:pPr>
              <w:numPr>
                <w:ilvl w:val="0"/>
                <w:numId w:val="6"/>
              </w:numPr>
            </w:pPr>
            <w:r>
              <w:rPr>
                <w:rFonts w:hint="eastAsia"/>
              </w:rPr>
              <w:t>系统要求支持按需维护细则的细则类型、执行频率、执行部门等指标数据。</w:t>
            </w:r>
          </w:p>
          <w:p>
            <w:pPr>
              <w:numPr>
                <w:ilvl w:val="0"/>
                <w:numId w:val="6"/>
              </w:numPr>
            </w:pPr>
            <w:r>
              <w:rPr>
                <w:rFonts w:hint="eastAsia"/>
              </w:rPr>
              <w:t>系统要求支持按需维护细则的评审要点、材料模板、法律法规文件、评审建议与方法等字典数据。</w:t>
            </w:r>
          </w:p>
          <w:p>
            <w:pPr>
              <w:numPr>
                <w:ilvl w:val="0"/>
                <w:numId w:val="6"/>
              </w:numPr>
            </w:pPr>
            <w:r>
              <w:rPr>
                <w:rFonts w:hint="eastAsia"/>
              </w:rPr>
              <w:t>系统要求支持导出.xls格式的等级评审字典文件。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等评细则分类</w:t>
            </w:r>
          </w:p>
        </w:tc>
        <w:tc>
          <w:tcPr>
            <w:tcW w:w="5077" w:type="dxa"/>
            <w:shd w:val="clear" w:color="auto" w:fill="auto"/>
          </w:tcPr>
          <w:p>
            <w:pPr>
              <w:numPr>
                <w:ilvl w:val="0"/>
                <w:numId w:val="7"/>
              </w:numPr>
            </w:pPr>
            <w:r>
              <w:rPr>
                <w:rFonts w:hint="eastAsia"/>
              </w:rPr>
              <w:t>系统要求支持按需维护细则分类，维护各分类中的等评细则与执行科室。</w:t>
            </w:r>
          </w:p>
          <w:p>
            <w:pPr>
              <w:numPr>
                <w:ilvl w:val="0"/>
                <w:numId w:val="7"/>
              </w:numPr>
            </w:pPr>
            <w:r>
              <w:rPr>
                <w:rFonts w:hint="eastAsia"/>
              </w:rPr>
              <w:t>系统要求支持删除已创建的单/多个类别。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shd w:val="clear" w:color="auto" w:fill="auto"/>
          </w:tcPr>
          <w:p>
            <w:r>
              <w:rPr>
                <w:rFonts w:hint="eastAsia"/>
              </w:rPr>
              <w:t>任务管理</w:t>
            </w:r>
          </w:p>
        </w:tc>
        <w:tc>
          <w:tcPr>
            <w:tcW w:w="1691" w:type="dxa"/>
            <w:shd w:val="clear" w:color="auto" w:fill="auto"/>
          </w:tcPr>
          <w:p>
            <w:r>
              <w:rPr>
                <w:rFonts w:hint="eastAsia"/>
              </w:rPr>
              <w:t>任务进度管理</w:t>
            </w:r>
          </w:p>
        </w:tc>
        <w:tc>
          <w:tcPr>
            <w:tcW w:w="5077" w:type="dxa"/>
            <w:shd w:val="clear" w:color="auto" w:fill="auto"/>
          </w:tcPr>
          <w:p>
            <w:pPr>
              <w:numPr>
                <w:ilvl w:val="0"/>
                <w:numId w:val="8"/>
              </w:numPr>
            </w:pPr>
            <w:r>
              <w:rPr>
                <w:rFonts w:hint="eastAsia"/>
              </w:rPr>
              <w:t>系统要求支持创建总任务，维护任务名称、周期等数据。</w:t>
            </w:r>
          </w:p>
          <w:p>
            <w:pPr>
              <w:numPr>
                <w:ilvl w:val="0"/>
                <w:numId w:val="8"/>
              </w:numPr>
            </w:pPr>
            <w:r>
              <w:rPr>
                <w:rFonts w:hint="eastAsia"/>
              </w:rPr>
              <w:t>系统要求支持多维度查看任务进度情况，包括支撑材料管理阶段（分配、执行、审核）和院内自评阶段（分配、审核）的具体进度。</w:t>
            </w:r>
          </w:p>
          <w:p>
            <w:pPr>
              <w:numPr>
                <w:ilvl w:val="0"/>
                <w:numId w:val="8"/>
              </w:numPr>
            </w:pPr>
            <w:r>
              <w:rPr>
                <w:rFonts w:hint="eastAsia"/>
              </w:rPr>
              <w:t>系统要求支持完结任务。</w:t>
            </w:r>
          </w:p>
          <w:p>
            <w:pPr>
              <w:numPr>
                <w:ilvl w:val="0"/>
                <w:numId w:val="8"/>
              </w:numPr>
            </w:pPr>
            <w:r>
              <w:rPr>
                <w:rFonts w:hint="eastAsia"/>
              </w:rPr>
              <w:t>系统要求支持查看历史任务。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r>
              <w:rPr>
                <w:rFonts w:hint="eastAsia"/>
              </w:rPr>
              <w:t>支撑材料管理</w:t>
            </w:r>
          </w:p>
        </w:tc>
        <w:tc>
          <w:tcPr>
            <w:tcW w:w="1691" w:type="dxa"/>
            <w:shd w:val="clear" w:color="auto" w:fill="auto"/>
          </w:tcPr>
          <w:p>
            <w:r>
              <w:rPr>
                <w:rFonts w:hint="eastAsia"/>
              </w:rPr>
              <w:t>支撑材料分配</w:t>
            </w:r>
          </w:p>
        </w:tc>
        <w:tc>
          <w:tcPr>
            <w:tcW w:w="5077" w:type="dxa"/>
            <w:shd w:val="clear" w:color="auto" w:fill="auto"/>
          </w:tcPr>
          <w:p>
            <w:pPr>
              <w:numPr>
                <w:ilvl w:val="0"/>
                <w:numId w:val="9"/>
              </w:numPr>
            </w:pPr>
            <w:r>
              <w:rPr>
                <w:rFonts w:hint="eastAsia"/>
              </w:rPr>
              <w:t>系统要求支持查看等评细则分配进度。</w:t>
            </w:r>
          </w:p>
          <w:p>
            <w:pPr>
              <w:numPr>
                <w:ilvl w:val="0"/>
                <w:numId w:val="9"/>
              </w:numPr>
            </w:pPr>
            <w:r>
              <w:rPr>
                <w:rFonts w:hint="eastAsia"/>
              </w:rPr>
              <w:t>系统要求支持条件筛选和多维度查看等评细则。</w:t>
            </w:r>
          </w:p>
          <w:p>
            <w:pPr>
              <w:numPr>
                <w:ilvl w:val="0"/>
                <w:numId w:val="9"/>
              </w:numPr>
            </w:pPr>
            <w:r>
              <w:rPr>
                <w:rFonts w:hint="eastAsia"/>
              </w:rPr>
              <w:t>系统要求支持分配单/多条等评</w:t>
            </w:r>
            <w:r>
              <w:t>细则</w:t>
            </w:r>
            <w:r>
              <w:rPr>
                <w:rFonts w:hint="eastAsia"/>
              </w:rPr>
              <w:t>给单/多个</w:t>
            </w:r>
            <w:r>
              <w:t>责任科室</w:t>
            </w:r>
            <w:r>
              <w:rPr>
                <w:rFonts w:hint="eastAsia"/>
              </w:rPr>
              <w:t>。</w:t>
            </w:r>
          </w:p>
          <w:p>
            <w:pPr>
              <w:numPr>
                <w:ilvl w:val="0"/>
                <w:numId w:val="9"/>
              </w:numPr>
            </w:pPr>
            <w:r>
              <w:rPr>
                <w:rFonts w:hint="eastAsia"/>
              </w:rPr>
              <w:t>系统要求支持维护各个责任科室的执行时限，并针对延期细则给相应科室用户发送提醒消息。</w:t>
            </w:r>
          </w:p>
          <w:p>
            <w:pPr>
              <w:numPr>
                <w:ilvl w:val="0"/>
                <w:numId w:val="9"/>
              </w:numPr>
            </w:pPr>
            <w:r>
              <w:rPr>
                <w:rFonts w:hint="eastAsia"/>
              </w:rPr>
              <w:t>系统要求支持重新分配等评细则。</w:t>
            </w:r>
          </w:p>
          <w:p>
            <w:pPr>
              <w:numPr>
                <w:ilvl w:val="0"/>
                <w:numId w:val="9"/>
              </w:numPr>
            </w:pPr>
            <w:r>
              <w:rPr>
                <w:rFonts w:hint="eastAsia"/>
              </w:rPr>
              <w:t>系统要求支持查看细则分配的操作记录。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支撑材料上传</w:t>
            </w:r>
          </w:p>
        </w:tc>
        <w:tc>
          <w:tcPr>
            <w:tcW w:w="5077" w:type="dxa"/>
            <w:shd w:val="clear" w:color="auto" w:fill="auto"/>
          </w:tcPr>
          <w:p>
            <w:pPr>
              <w:numPr>
                <w:ilvl w:val="0"/>
                <w:numId w:val="10"/>
              </w:numPr>
            </w:pPr>
            <w:r>
              <w:rPr>
                <w:rFonts w:hint="eastAsia"/>
              </w:rPr>
              <w:t>系统要求支持各责任科室查看各自任务总量、执行进度等数据。</w:t>
            </w:r>
          </w:p>
          <w:p>
            <w:pPr>
              <w:numPr>
                <w:ilvl w:val="0"/>
                <w:numId w:val="10"/>
              </w:numPr>
            </w:pPr>
            <w:r>
              <w:rPr>
                <w:rFonts w:hint="eastAsia"/>
              </w:rPr>
              <w:t>系统要求支持条件筛选和多维度查看等评细则，并系统要求支持查看该细则内的评审要点、支撑材料、材料模板、法律法规、操作记录等数据。</w:t>
            </w:r>
          </w:p>
          <w:p>
            <w:pPr>
              <w:numPr>
                <w:ilvl w:val="0"/>
                <w:numId w:val="10"/>
              </w:numPr>
            </w:pPr>
            <w:r>
              <w:rPr>
                <w:rFonts w:hint="eastAsia"/>
              </w:rPr>
              <w:t>系统要求支持对单/多条等评细则上传单/多份支撑材料文件，并系统要求支持删除已上传的支撑文件。</w:t>
            </w:r>
          </w:p>
          <w:p>
            <w:pPr>
              <w:numPr>
                <w:ilvl w:val="0"/>
                <w:numId w:val="10"/>
              </w:numPr>
            </w:pPr>
            <w:r>
              <w:rPr>
                <w:rFonts w:hint="eastAsia"/>
              </w:rPr>
              <w:t>系统要求支持跳过无需处理的等评细则。</w:t>
            </w:r>
          </w:p>
          <w:p>
            <w:pPr>
              <w:numPr>
                <w:ilvl w:val="0"/>
                <w:numId w:val="10"/>
              </w:numPr>
            </w:pPr>
            <w:r>
              <w:rPr>
                <w:rFonts w:hint="eastAsia"/>
              </w:rPr>
              <w:t>系统要求支持重新上传已改进的支撑材料。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支撑材料审核</w:t>
            </w:r>
          </w:p>
        </w:tc>
        <w:tc>
          <w:tcPr>
            <w:tcW w:w="5077" w:type="dxa"/>
            <w:shd w:val="clear" w:color="auto" w:fill="auto"/>
          </w:tcPr>
          <w:p>
            <w:pPr>
              <w:numPr>
                <w:ilvl w:val="0"/>
                <w:numId w:val="11"/>
              </w:numPr>
            </w:pPr>
            <w:r>
              <w:t>系统要求支持各</w:t>
            </w:r>
            <w:r>
              <w:rPr>
                <w:rFonts w:hint="eastAsia"/>
              </w:rPr>
              <w:t>审核人员</w:t>
            </w:r>
            <w:r>
              <w:t>查看各自任务总量、执行进度等数据。</w:t>
            </w:r>
          </w:p>
          <w:p>
            <w:pPr>
              <w:numPr>
                <w:ilvl w:val="0"/>
                <w:numId w:val="11"/>
              </w:numPr>
            </w:pPr>
            <w:r>
              <w:t>系统要求支持条件筛选和多维度查看等评细则。</w:t>
            </w:r>
          </w:p>
          <w:p>
            <w:pPr>
              <w:numPr>
                <w:ilvl w:val="0"/>
                <w:numId w:val="11"/>
              </w:numPr>
            </w:pPr>
            <w:r>
              <w:rPr>
                <w:rFonts w:hint="eastAsia"/>
              </w:rPr>
              <w:t>系统要求支持审核等评细则的支撑材料，并系统要求支持查看该细则内的评审要点、法律法规等数据。</w:t>
            </w:r>
          </w:p>
          <w:p>
            <w:pPr>
              <w:numPr>
                <w:ilvl w:val="0"/>
                <w:numId w:val="11"/>
              </w:numPr>
            </w:pPr>
            <w:r>
              <w:rPr>
                <w:rFonts w:hint="eastAsia"/>
              </w:rPr>
              <w:t>系统要求支持对审核驳回的细则录入支撑材料的问题，反馈给相关责任人员。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支撑材料进度</w:t>
            </w:r>
          </w:p>
        </w:tc>
        <w:tc>
          <w:tcPr>
            <w:tcW w:w="5077" w:type="dxa"/>
            <w:shd w:val="clear" w:color="auto" w:fill="auto"/>
          </w:tcPr>
          <w:p>
            <w:pPr>
              <w:numPr>
                <w:ilvl w:val="0"/>
                <w:numId w:val="12"/>
              </w:numPr>
            </w:pPr>
            <w:r>
              <w:rPr>
                <w:rFonts w:hint="eastAsia"/>
              </w:rPr>
              <w:t>系统要求支持</w:t>
            </w:r>
            <w:r>
              <w:t>查</w:t>
            </w:r>
            <w:r>
              <w:rPr>
                <w:rFonts w:hint="eastAsia"/>
              </w:rPr>
              <w:t>看</w:t>
            </w:r>
            <w:r>
              <w:t>各责任科室负责</w:t>
            </w:r>
            <w:r>
              <w:rPr>
                <w:rFonts w:hint="eastAsia"/>
              </w:rPr>
              <w:t>的等评</w:t>
            </w:r>
            <w:r>
              <w:t>细则的执行</w:t>
            </w:r>
            <w:r>
              <w:rPr>
                <w:rFonts w:hint="eastAsia"/>
              </w:rPr>
              <w:t>和审核进度</w:t>
            </w:r>
            <w:r>
              <w:t>、</w:t>
            </w:r>
            <w:r>
              <w:rPr>
                <w:rFonts w:hint="eastAsia"/>
              </w:rPr>
              <w:t>细则完成进度、未执行数量和超期未执行数量。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r>
              <w:rPr>
                <w:rFonts w:hint="eastAsia"/>
              </w:rPr>
              <w:t>院内自评管理</w:t>
            </w:r>
          </w:p>
        </w:tc>
        <w:tc>
          <w:tcPr>
            <w:tcW w:w="1691" w:type="dxa"/>
            <w:shd w:val="clear" w:color="auto" w:fill="auto"/>
          </w:tcPr>
          <w:p>
            <w:r>
              <w:rPr>
                <w:rFonts w:hint="eastAsia"/>
              </w:rPr>
              <w:t>▲自评任务分配</w:t>
            </w:r>
          </w:p>
        </w:tc>
        <w:tc>
          <w:tcPr>
            <w:tcW w:w="5077" w:type="dxa"/>
            <w:shd w:val="clear" w:color="auto" w:fill="auto"/>
          </w:tcPr>
          <w:p>
            <w:pPr>
              <w:numPr>
                <w:ilvl w:val="0"/>
                <w:numId w:val="13"/>
              </w:numPr>
            </w:pPr>
            <w:r>
              <w:rPr>
                <w:rFonts w:hint="eastAsia"/>
              </w:rPr>
              <w:t>系统要求支持查看等评细则的分配进度。</w:t>
            </w:r>
          </w:p>
          <w:p>
            <w:pPr>
              <w:numPr>
                <w:ilvl w:val="0"/>
                <w:numId w:val="13"/>
              </w:numPr>
            </w:pPr>
            <w:r>
              <w:rPr>
                <w:rFonts w:hint="eastAsia"/>
              </w:rPr>
              <w:t>系统要求支持条件筛选和多维度查看等评细则。</w:t>
            </w:r>
          </w:p>
          <w:p>
            <w:pPr>
              <w:numPr>
                <w:ilvl w:val="0"/>
                <w:numId w:val="13"/>
              </w:numPr>
            </w:pPr>
            <w:r>
              <w:rPr>
                <w:rFonts w:hint="eastAsia"/>
              </w:rPr>
              <w:t>系统要求支持分配单/多条等评细则给单/多位评审人员。</w:t>
            </w:r>
          </w:p>
          <w:p>
            <w:pPr>
              <w:numPr>
                <w:ilvl w:val="0"/>
                <w:numId w:val="13"/>
              </w:numPr>
            </w:pPr>
            <w:r>
              <w:rPr>
                <w:rFonts w:hint="eastAsia"/>
              </w:rPr>
              <w:t>系统要求支持查看分配操作记录。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▲自评任务执行</w:t>
            </w:r>
          </w:p>
        </w:tc>
        <w:tc>
          <w:tcPr>
            <w:tcW w:w="5077" w:type="dxa"/>
            <w:shd w:val="clear" w:color="auto" w:fill="auto"/>
          </w:tcPr>
          <w:p>
            <w:pPr>
              <w:numPr>
                <w:ilvl w:val="0"/>
                <w:numId w:val="14"/>
              </w:numPr>
            </w:pPr>
            <w:r>
              <w:rPr>
                <w:rFonts w:hint="eastAsia"/>
              </w:rPr>
              <w:t>系统要求支持各评审人员查看各自任务总量、评审进度等数据。</w:t>
            </w:r>
          </w:p>
          <w:p>
            <w:pPr>
              <w:numPr>
                <w:ilvl w:val="0"/>
                <w:numId w:val="14"/>
              </w:numPr>
            </w:pPr>
            <w:r>
              <w:rPr>
                <w:rFonts w:hint="eastAsia"/>
              </w:rPr>
              <w:t>系统要求支持条件筛选和多维度查看等评细则。</w:t>
            </w:r>
          </w:p>
          <w:p>
            <w:pPr>
              <w:numPr>
                <w:ilvl w:val="0"/>
                <w:numId w:val="14"/>
              </w:numPr>
            </w:pPr>
            <w:r>
              <w:rPr>
                <w:rFonts w:hint="eastAsia"/>
              </w:rPr>
              <w:t>系统要求支持评审等评细则的支撑材料，并系统要求支持查看该细则内的评审要点、支撑材料、法律法规、操作记录等数据。</w:t>
            </w:r>
          </w:p>
          <w:p>
            <w:pPr>
              <w:numPr>
                <w:ilvl w:val="0"/>
                <w:numId w:val="14"/>
              </w:numPr>
            </w:pPr>
            <w:r>
              <w:rPr>
                <w:rFonts w:hint="eastAsia"/>
              </w:rPr>
              <w:t>系统要求支持对审核通过的细则维护评审结果和达标情况。</w:t>
            </w:r>
          </w:p>
          <w:p>
            <w:pPr>
              <w:numPr>
                <w:ilvl w:val="0"/>
                <w:numId w:val="14"/>
              </w:numPr>
            </w:pPr>
            <w:r>
              <w:rPr>
                <w:rFonts w:hint="eastAsia"/>
              </w:rPr>
              <w:t>系统要求支持对审核驳回的细则录入支撑材料的问题，反馈给相关责任人员。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▲自评执行进度</w:t>
            </w:r>
          </w:p>
        </w:tc>
        <w:tc>
          <w:tcPr>
            <w:tcW w:w="5077" w:type="dxa"/>
            <w:shd w:val="clear" w:color="auto" w:fill="auto"/>
          </w:tcPr>
          <w:p>
            <w:pPr>
              <w:numPr>
                <w:ilvl w:val="0"/>
                <w:numId w:val="15"/>
              </w:numPr>
            </w:pPr>
            <w:r>
              <w:rPr>
                <w:rFonts w:hint="eastAsia"/>
              </w:rPr>
              <w:t>系统要求支持</w:t>
            </w:r>
            <w:r>
              <w:t>查</w:t>
            </w:r>
            <w:r>
              <w:rPr>
                <w:rFonts w:hint="eastAsia"/>
              </w:rPr>
              <w:t>看</w:t>
            </w:r>
            <w:r>
              <w:t>各</w:t>
            </w:r>
            <w:r>
              <w:rPr>
                <w:rFonts w:hint="eastAsia"/>
              </w:rPr>
              <w:t>评审人员</w:t>
            </w:r>
            <w:r>
              <w:t>负责</w:t>
            </w:r>
            <w:r>
              <w:rPr>
                <w:rFonts w:hint="eastAsia"/>
              </w:rPr>
              <w:t>的等评</w:t>
            </w:r>
            <w:r>
              <w:t>细则</w:t>
            </w:r>
            <w:r>
              <w:rPr>
                <w:rFonts w:hint="eastAsia"/>
              </w:rPr>
              <w:t>数量、评审进度、完成进度、未评数量、达标数量和未达标数量。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▲自评结果管理</w:t>
            </w:r>
          </w:p>
        </w:tc>
        <w:tc>
          <w:tcPr>
            <w:tcW w:w="5077" w:type="dxa"/>
            <w:shd w:val="clear" w:color="auto" w:fill="auto"/>
          </w:tcPr>
          <w:p>
            <w:pPr>
              <w:numPr>
                <w:ilvl w:val="0"/>
                <w:numId w:val="16"/>
              </w:numPr>
            </w:pPr>
            <w:r>
              <w:rPr>
                <w:rFonts w:hint="eastAsia"/>
              </w:rPr>
              <w:t>系统要求支持查看等评细则的评审统计数据。</w:t>
            </w:r>
          </w:p>
          <w:p>
            <w:pPr>
              <w:numPr>
                <w:ilvl w:val="0"/>
                <w:numId w:val="16"/>
              </w:numPr>
            </w:pPr>
            <w:r>
              <w:rPr>
                <w:rFonts w:hint="eastAsia"/>
              </w:rPr>
              <w:t>系统要求支持</w:t>
            </w:r>
            <w:r>
              <w:t>条件筛选和多维度查看等评细则</w:t>
            </w:r>
            <w:r>
              <w:rPr>
                <w:rFonts w:hint="eastAsia"/>
              </w:rPr>
              <w:t>的评审结果，并系统要求支持查看细则内的评审要点、支撑材料、法律法规、操作记录等数据。</w:t>
            </w:r>
          </w:p>
          <w:p>
            <w:pPr>
              <w:numPr>
                <w:ilvl w:val="0"/>
                <w:numId w:val="16"/>
              </w:numPr>
            </w:pPr>
            <w:r>
              <w:rPr>
                <w:rFonts w:hint="eastAsia"/>
              </w:rPr>
              <w:t>系统要求支持导出.xls格式的评审结果文件。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r>
              <w:rPr>
                <w:rFonts w:hint="eastAsia"/>
              </w:rPr>
              <w:t>统计管理</w:t>
            </w:r>
          </w:p>
        </w:tc>
        <w:tc>
          <w:tcPr>
            <w:tcW w:w="1691" w:type="dxa"/>
            <w:shd w:val="clear" w:color="auto" w:fill="auto"/>
          </w:tcPr>
          <w:p>
            <w:r>
              <w:rPr>
                <w:rFonts w:hint="eastAsia"/>
              </w:rPr>
              <w:t>▲达标情况管理</w:t>
            </w:r>
          </w:p>
        </w:tc>
        <w:tc>
          <w:tcPr>
            <w:tcW w:w="5077" w:type="dxa"/>
            <w:shd w:val="clear" w:color="auto" w:fill="auto"/>
          </w:tcPr>
          <w:p>
            <w:pPr>
              <w:numPr>
                <w:ilvl w:val="0"/>
                <w:numId w:val="17"/>
              </w:numPr>
            </w:pPr>
            <w:r>
              <w:rPr>
                <w:rFonts w:hint="eastAsia"/>
              </w:rPr>
              <w:t>系统要求支持按条件统计实施细则的达标、未达标的数量。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支撑材料上传工作量</w:t>
            </w:r>
          </w:p>
        </w:tc>
        <w:tc>
          <w:tcPr>
            <w:tcW w:w="5077" w:type="dxa"/>
            <w:shd w:val="clear" w:color="auto" w:fill="auto"/>
          </w:tcPr>
          <w:p>
            <w:pPr>
              <w:numPr>
                <w:ilvl w:val="0"/>
                <w:numId w:val="18"/>
              </w:numPr>
            </w:pPr>
            <w:r>
              <w:rPr>
                <w:rFonts w:hint="eastAsia"/>
              </w:rPr>
              <w:t>系统要求支持按条件统计各责任科室的工作量。</w:t>
            </w:r>
          </w:p>
          <w:p>
            <w:pPr>
              <w:numPr>
                <w:ilvl w:val="0"/>
                <w:numId w:val="18"/>
              </w:numPr>
            </w:pPr>
            <w:r>
              <w:rPr>
                <w:rFonts w:hint="eastAsia"/>
              </w:rPr>
              <w:t>系统要求支持按条件统计各责任科室负责人的工作量。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自评工作量统计</w:t>
            </w:r>
          </w:p>
        </w:tc>
        <w:tc>
          <w:tcPr>
            <w:tcW w:w="5077" w:type="dxa"/>
            <w:shd w:val="clear" w:color="auto" w:fill="auto"/>
          </w:tcPr>
          <w:p>
            <w:pPr>
              <w:numPr>
                <w:ilvl w:val="0"/>
                <w:numId w:val="19"/>
              </w:numPr>
            </w:pPr>
            <w:r>
              <w:rPr>
                <w:rFonts w:hint="eastAsia"/>
              </w:rPr>
              <w:t>系统要求支持按条件统计各评审人员的工作量。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restart"/>
            <w:shd w:val="clear" w:color="auto" w:fill="auto"/>
          </w:tcPr>
          <w:p>
            <w:r>
              <w:rPr>
                <w:rFonts w:hint="eastAsia"/>
              </w:rPr>
              <w:t>系统管理</w:t>
            </w:r>
          </w:p>
        </w:tc>
        <w:tc>
          <w:tcPr>
            <w:tcW w:w="1691" w:type="dxa"/>
            <w:shd w:val="clear" w:color="auto" w:fill="auto"/>
          </w:tcPr>
          <w:p>
            <w:r>
              <w:rPr>
                <w:rFonts w:hint="eastAsia"/>
              </w:rPr>
              <w:t>医院信息</w:t>
            </w:r>
          </w:p>
        </w:tc>
        <w:tc>
          <w:tcPr>
            <w:tcW w:w="5077" w:type="dxa"/>
            <w:shd w:val="clear" w:color="auto" w:fill="auto"/>
          </w:tcPr>
          <w:p>
            <w:pPr>
              <w:numPr>
                <w:ilvl w:val="0"/>
                <w:numId w:val="20"/>
              </w:numPr>
            </w:pPr>
            <w:r>
              <w:rPr>
                <w:rFonts w:hint="eastAsia"/>
              </w:rPr>
              <w:t>系统要求支持维护</w:t>
            </w:r>
            <w:r>
              <w:t>医院名称、级别、类型</w:t>
            </w:r>
            <w:r>
              <w:rPr>
                <w:rFonts w:hint="eastAsia"/>
              </w:rPr>
              <w:t>等</w:t>
            </w:r>
            <w:r>
              <w:t>基础数据</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科室管理</w:t>
            </w:r>
          </w:p>
        </w:tc>
        <w:tc>
          <w:tcPr>
            <w:tcW w:w="5077" w:type="dxa"/>
            <w:shd w:val="clear" w:color="auto" w:fill="auto"/>
          </w:tcPr>
          <w:p>
            <w:pPr>
              <w:numPr>
                <w:ilvl w:val="0"/>
                <w:numId w:val="21"/>
              </w:numPr>
            </w:pPr>
            <w:r>
              <w:rPr>
                <w:rFonts w:hint="eastAsia"/>
              </w:rPr>
              <w:t>系统要求支持维护院内</w:t>
            </w:r>
            <w:r>
              <w:t>各个科室相关数据</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角色权限管理</w:t>
            </w:r>
          </w:p>
        </w:tc>
        <w:tc>
          <w:tcPr>
            <w:tcW w:w="5077" w:type="dxa"/>
            <w:shd w:val="clear" w:color="auto" w:fill="auto"/>
          </w:tcPr>
          <w:p>
            <w:pPr>
              <w:numPr>
                <w:ilvl w:val="0"/>
                <w:numId w:val="22"/>
              </w:numPr>
            </w:pPr>
            <w:r>
              <w:rPr>
                <w:rFonts w:hint="eastAsia"/>
              </w:rPr>
              <w:t>系统要求支持创建系统角色，维护页面权限。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用户管理</w:t>
            </w:r>
          </w:p>
        </w:tc>
        <w:tc>
          <w:tcPr>
            <w:tcW w:w="5077" w:type="dxa"/>
            <w:shd w:val="clear" w:color="auto" w:fill="auto"/>
          </w:tcPr>
          <w:p>
            <w:pPr>
              <w:numPr>
                <w:ilvl w:val="0"/>
                <w:numId w:val="23"/>
              </w:numPr>
            </w:pPr>
            <w:r>
              <w:rPr>
                <w:rFonts w:hint="eastAsia"/>
              </w:rPr>
              <w:t>系统要求支持创建系统用户，维护用户相关数据。</w:t>
            </w:r>
          </w:p>
          <w:p>
            <w:pPr>
              <w:numPr>
                <w:ilvl w:val="0"/>
                <w:numId w:val="23"/>
              </w:numPr>
            </w:pPr>
            <w:r>
              <w:rPr>
                <w:rFonts w:hint="eastAsia"/>
              </w:rPr>
              <w:t>系统要求支持管理员重置密码。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等级判定标准维护</w:t>
            </w:r>
          </w:p>
        </w:tc>
        <w:tc>
          <w:tcPr>
            <w:tcW w:w="5077" w:type="dxa"/>
            <w:shd w:val="clear" w:color="auto" w:fill="auto"/>
          </w:tcPr>
          <w:p>
            <w:r>
              <w:rPr>
                <w:rFonts w:hint="eastAsia"/>
              </w:rPr>
              <w:t>1.系统要求支持维护湖南省等级评审实施标准中各等级判定标准的达标条件。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指标属性维护</w:t>
            </w:r>
          </w:p>
        </w:tc>
        <w:tc>
          <w:tcPr>
            <w:tcW w:w="5077" w:type="dxa"/>
            <w:shd w:val="clear" w:color="auto" w:fill="auto"/>
          </w:tcPr>
          <w:p>
            <w:pPr>
              <w:numPr>
                <w:ilvl w:val="0"/>
                <w:numId w:val="24"/>
              </w:numPr>
            </w:pPr>
            <w:r>
              <w:rPr>
                <w:rFonts w:hint="eastAsia"/>
              </w:rPr>
              <w:t>系统要求支持维护湖南省等级评审实施细则中指标属性。如规模/配比类、监测类、考核类。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指标标准配置</w:t>
            </w:r>
          </w:p>
        </w:tc>
        <w:tc>
          <w:tcPr>
            <w:tcW w:w="5077" w:type="dxa"/>
            <w:shd w:val="clear" w:color="auto" w:fill="auto"/>
          </w:tcPr>
          <w:p>
            <w:pPr>
              <w:numPr>
                <w:ilvl w:val="0"/>
                <w:numId w:val="25"/>
              </w:numPr>
            </w:pPr>
            <w:r>
              <w:rPr>
                <w:rFonts w:hint="eastAsia"/>
              </w:rPr>
              <w:t>系统要求支持维护指标类型，如等级型或分值型。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等次分值配置</w:t>
            </w:r>
          </w:p>
        </w:tc>
        <w:tc>
          <w:tcPr>
            <w:tcW w:w="5077" w:type="dxa"/>
            <w:shd w:val="clear" w:color="auto" w:fill="auto"/>
          </w:tcPr>
          <w:p>
            <w:pPr>
              <w:numPr>
                <w:ilvl w:val="0"/>
                <w:numId w:val="26"/>
              </w:numPr>
            </w:pPr>
            <w:r>
              <w:rPr>
                <w:rFonts w:hint="eastAsia"/>
              </w:rPr>
              <w:t>针对等级型指标，系统要求支持维护各等级细则对应的分数。</w:t>
            </w:r>
          </w:p>
          <w:p>
            <w:pPr>
              <w:numPr>
                <w:ilvl w:val="0"/>
                <w:numId w:val="26"/>
              </w:numPr>
            </w:pPr>
            <w:r>
              <w:rPr>
                <w:rFonts w:hint="eastAsia"/>
              </w:rPr>
              <w:t>系统要求支持对不同细则类型维护相应的分数。</w:t>
            </w:r>
          </w:p>
          <w:p>
            <w:pPr>
              <w:numPr>
                <w:ilvl w:val="0"/>
                <w:numId w:val="26"/>
              </w:numPr>
            </w:pPr>
            <w:r>
              <w:rPr>
                <w:rFonts w:hint="eastAsia"/>
              </w:rPr>
              <w:t>系统要求支持删除已创建的配置关系。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审核配置</w:t>
            </w:r>
          </w:p>
        </w:tc>
        <w:tc>
          <w:tcPr>
            <w:tcW w:w="5077" w:type="dxa"/>
            <w:shd w:val="clear" w:color="auto" w:fill="auto"/>
          </w:tcPr>
          <w:p>
            <w:pPr>
              <w:numPr>
                <w:ilvl w:val="0"/>
                <w:numId w:val="27"/>
              </w:numPr>
            </w:pPr>
            <w:r>
              <w:rPr>
                <w:rFonts w:hint="eastAsia"/>
              </w:rPr>
              <w:t>系统要求支持配置系统内是否审核支撑材料管理阶段的审核流程。</w:t>
            </w:r>
          </w:p>
          <w:p>
            <w:pPr>
              <w:numPr>
                <w:ilvl w:val="0"/>
                <w:numId w:val="27"/>
              </w:numPr>
            </w:pPr>
            <w:r>
              <w:rPr>
                <w:rFonts w:hint="eastAsia"/>
              </w:rPr>
              <w:t>维护拥有审核支撑材料权限的用户。</w:t>
            </w:r>
          </w:p>
          <w:p>
            <w:pPr>
              <w:numPr>
                <w:ilvl w:val="0"/>
                <w:numId w:val="27"/>
              </w:numPr>
            </w:pPr>
            <w:r>
              <w:rPr>
                <w:rFonts w:hint="eastAsia"/>
              </w:rPr>
              <w:t>系统要求支持维护审核用户负责的执行科室。系统内对细则支撑材料是否审核、审核人员的权限、审核负责哪些科室的配置页面。仅管理员系统要求支持配置。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vMerge w:val="continue"/>
            <w:shd w:val="clear" w:color="auto" w:fill="auto"/>
          </w:tcPr>
          <w:p/>
        </w:tc>
        <w:tc>
          <w:tcPr>
            <w:tcW w:w="1691" w:type="dxa"/>
            <w:shd w:val="clear" w:color="auto" w:fill="auto"/>
          </w:tcPr>
          <w:p>
            <w:r>
              <w:rPr>
                <w:rFonts w:hint="eastAsia"/>
              </w:rPr>
              <w:t>用户中心</w:t>
            </w:r>
          </w:p>
        </w:tc>
        <w:tc>
          <w:tcPr>
            <w:tcW w:w="5077" w:type="dxa"/>
            <w:shd w:val="clear" w:color="auto" w:fill="auto"/>
          </w:tcPr>
          <w:p>
            <w:pPr>
              <w:numPr>
                <w:ilvl w:val="0"/>
                <w:numId w:val="28"/>
              </w:numPr>
            </w:pPr>
            <w:r>
              <w:rPr>
                <w:rFonts w:hint="eastAsia"/>
              </w:rPr>
              <w:t>系统要求支持修改当前用户登录密码。</w:t>
            </w:r>
          </w:p>
        </w:tc>
      </w:tr>
    </w:tbl>
    <w:p>
      <w:pPr>
        <w:spacing w:line="360" w:lineRule="auto"/>
        <w:jc w:val="center"/>
        <w:rPr>
          <w:rFonts w:ascii="宋体" w:hAnsi="宋体"/>
          <w:b/>
          <w:color w:val="000000" w:themeColor="text1"/>
          <w:sz w:val="32"/>
          <w:szCs w:val="32"/>
          <w14:textFill>
            <w14:solidFill>
              <w14:schemeClr w14:val="tx1"/>
            </w14:solidFill>
          </w14:textFill>
        </w:rPr>
      </w:pPr>
    </w:p>
    <w:p>
      <w:pPr>
        <w:spacing w:line="360" w:lineRule="auto"/>
        <w:jc w:val="center"/>
        <w:rPr>
          <w:rFonts w:ascii="宋体" w:hAnsi="宋体" w:eastAsiaTheme="minorEastAsia"/>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等级评审（</w:t>
      </w:r>
      <w:r>
        <w:rPr>
          <w:rFonts w:ascii="宋体" w:hAnsi="宋体"/>
          <w:b/>
          <w:color w:val="000000" w:themeColor="text1"/>
          <w:sz w:val="32"/>
          <w:szCs w:val="32"/>
          <w14:textFill>
            <w14:solidFill>
              <w14:schemeClr w14:val="tx1"/>
            </w14:solidFill>
          </w14:textFill>
        </w:rPr>
        <w:t>医疗服务能力与质量安全监测数据</w:t>
      </w:r>
      <w:r>
        <w:rPr>
          <w:rFonts w:hint="eastAsia" w:ascii="宋体" w:hAnsi="宋体"/>
          <w:b/>
          <w:color w:val="000000" w:themeColor="text1"/>
          <w:sz w:val="32"/>
          <w:szCs w:val="32"/>
          <w14:textFill>
            <w14:solidFill>
              <w14:schemeClr w14:val="tx1"/>
            </w14:solidFill>
          </w14:textFill>
        </w:rPr>
        <w:t>）技术参数</w:t>
      </w:r>
    </w:p>
    <w:tbl>
      <w:tblPr>
        <w:tblStyle w:val="5"/>
        <w:tblW w:w="96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83"/>
        <w:gridCol w:w="1493"/>
        <w:gridCol w:w="1617"/>
        <w:gridCol w:w="566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21" w:hRule="atLeast"/>
          <w:jc w:val="center"/>
        </w:trPr>
        <w:tc>
          <w:tcPr>
            <w:tcW w:w="883" w:type="dxa"/>
            <w:tcBorders>
              <w:right w:val="single" w:color="auto" w:sz="4" w:space="0"/>
            </w:tcBorders>
            <w:vAlign w:val="center"/>
          </w:tcPr>
          <w:p>
            <w:pPr>
              <w:spacing w:line="360" w:lineRule="auto"/>
              <w:jc w:val="center"/>
              <w:rPr>
                <w:rFonts w:ascii="宋体" w:hAnsi="宋体"/>
                <w:b/>
                <w:sz w:val="24"/>
              </w:rPr>
            </w:pPr>
            <w:r>
              <w:rPr>
                <w:rFonts w:hint="eastAsia" w:ascii="宋体" w:hAnsi="宋体"/>
                <w:b/>
                <w:kern w:val="0"/>
                <w:sz w:val="24"/>
              </w:rPr>
              <w:t>序号</w:t>
            </w:r>
          </w:p>
        </w:tc>
        <w:tc>
          <w:tcPr>
            <w:tcW w:w="1493" w:type="dxa"/>
            <w:tcBorders>
              <w:left w:val="single" w:color="auto" w:sz="4" w:space="0"/>
            </w:tcBorders>
            <w:vAlign w:val="center"/>
          </w:tcPr>
          <w:p>
            <w:pPr>
              <w:spacing w:line="360" w:lineRule="auto"/>
              <w:jc w:val="center"/>
              <w:rPr>
                <w:rFonts w:ascii="宋体" w:hAnsi="宋体"/>
                <w:b/>
                <w:sz w:val="24"/>
              </w:rPr>
            </w:pPr>
            <w:r>
              <w:rPr>
                <w:rFonts w:hint="eastAsia" w:ascii="宋体" w:hAnsi="宋体"/>
                <w:b/>
                <w:sz w:val="24"/>
              </w:rPr>
              <w:t>系统模块</w:t>
            </w:r>
          </w:p>
        </w:tc>
        <w:tc>
          <w:tcPr>
            <w:tcW w:w="1617" w:type="dxa"/>
            <w:vAlign w:val="center"/>
          </w:tcPr>
          <w:p>
            <w:pPr>
              <w:spacing w:line="360" w:lineRule="auto"/>
              <w:jc w:val="center"/>
              <w:rPr>
                <w:rFonts w:ascii="宋体" w:hAnsi="宋体"/>
                <w:b/>
                <w:sz w:val="24"/>
              </w:rPr>
            </w:pPr>
            <w:r>
              <w:rPr>
                <w:rFonts w:hint="eastAsia" w:ascii="宋体" w:hAnsi="宋体"/>
                <w:b/>
                <w:sz w:val="24"/>
              </w:rPr>
              <w:t>功能模块</w:t>
            </w:r>
          </w:p>
        </w:tc>
        <w:tc>
          <w:tcPr>
            <w:tcW w:w="5663" w:type="dxa"/>
            <w:vAlign w:val="center"/>
          </w:tcPr>
          <w:p>
            <w:pPr>
              <w:spacing w:line="360" w:lineRule="auto"/>
              <w:jc w:val="center"/>
              <w:rPr>
                <w:rFonts w:ascii="宋体" w:hAnsi="宋体"/>
                <w:b/>
                <w:sz w:val="24"/>
              </w:rPr>
            </w:pPr>
            <w:r>
              <w:rPr>
                <w:rFonts w:hint="eastAsia" w:ascii="宋体" w:hAnsi="宋体"/>
                <w:b/>
                <w:sz w:val="24"/>
              </w:rPr>
              <w:t>功能详细介绍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35" w:hRule="atLeast"/>
          <w:jc w:val="center"/>
        </w:trPr>
        <w:tc>
          <w:tcPr>
            <w:tcW w:w="883" w:type="dxa"/>
            <w:vMerge w:val="restart"/>
            <w:tcBorders>
              <w:right w:val="single" w:color="auto" w:sz="4" w:space="0"/>
            </w:tcBorders>
            <w:vAlign w:val="center"/>
          </w:tcPr>
          <w:p>
            <w:pPr>
              <w:spacing w:line="360" w:lineRule="auto"/>
              <w:jc w:val="center"/>
              <w:rPr>
                <w:rFonts w:ascii="Times New Roman" w:hAnsi="Times New Roman"/>
                <w:kern w:val="0"/>
                <w:sz w:val="24"/>
              </w:rPr>
            </w:pPr>
            <w:r>
              <w:rPr>
                <w:rFonts w:ascii="宋体" w:hAnsi="宋体"/>
                <w:sz w:val="24"/>
              </w:rPr>
              <w:t>1</w:t>
            </w:r>
          </w:p>
        </w:tc>
        <w:tc>
          <w:tcPr>
            <w:tcW w:w="1493" w:type="dxa"/>
            <w:vMerge w:val="restart"/>
            <w:tcBorders>
              <w:left w:val="single" w:color="auto" w:sz="4" w:space="0"/>
            </w:tcBorders>
            <w:vAlign w:val="center"/>
          </w:tcPr>
          <w:p>
            <w:pPr>
              <w:spacing w:line="360" w:lineRule="auto"/>
              <w:jc w:val="center"/>
              <w:rPr>
                <w:rFonts w:ascii="宋体" w:hAnsi="宋体" w:eastAsiaTheme="minorEastAsia" w:cstheme="minorBidi"/>
                <w:sz w:val="24"/>
                <w:szCs w:val="22"/>
              </w:rPr>
            </w:pPr>
            <w:r>
              <w:rPr>
                <w:rFonts w:hint="eastAsia" w:ascii="宋体" w:hAnsi="宋体" w:cstheme="minorBidi"/>
                <w:sz w:val="24"/>
                <w:szCs w:val="22"/>
              </w:rPr>
              <w:t>数据填报</w:t>
            </w:r>
          </w:p>
        </w:tc>
        <w:tc>
          <w:tcPr>
            <w:tcW w:w="1617" w:type="dxa"/>
            <w:tcBorders>
              <w:bottom w:val="single" w:color="auto" w:sz="4" w:space="0"/>
            </w:tcBorders>
            <w:vAlign w:val="center"/>
          </w:tcPr>
          <w:p>
            <w:pPr>
              <w:spacing w:line="360" w:lineRule="auto"/>
              <w:jc w:val="center"/>
              <w:rPr>
                <w:rFonts w:ascii="宋体" w:hAnsi="宋体" w:eastAsiaTheme="minorEastAsia" w:cstheme="minorBidi"/>
                <w:sz w:val="24"/>
                <w:szCs w:val="22"/>
              </w:rPr>
            </w:pPr>
            <w:r>
              <w:rPr>
                <w:rFonts w:hint="eastAsia"/>
              </w:rPr>
              <w:t>▲</w:t>
            </w:r>
            <w:r>
              <w:rPr>
                <w:rFonts w:hint="eastAsia" w:ascii="宋体" w:hAnsi="宋体"/>
                <w:sz w:val="24"/>
              </w:rPr>
              <w:t>数据填报</w:t>
            </w:r>
          </w:p>
        </w:tc>
        <w:tc>
          <w:tcPr>
            <w:tcW w:w="5663" w:type="dxa"/>
            <w:tcBorders>
              <w:bottom w:val="single" w:color="auto" w:sz="4" w:space="0"/>
            </w:tcBorders>
          </w:tcPr>
          <w:p>
            <w:pPr>
              <w:spacing w:line="520" w:lineRule="exact"/>
              <w:ind w:firstLine="480" w:firstLineChars="200"/>
              <w:rPr>
                <w:rFonts w:ascii="宋体" w:hAnsi="宋体"/>
                <w:sz w:val="24"/>
              </w:rPr>
            </w:pPr>
            <w:r>
              <w:rPr>
                <w:rFonts w:hint="eastAsia" w:ascii="宋体" w:hAnsi="宋体"/>
                <w:sz w:val="24"/>
              </w:rPr>
              <w:t>系统具有按月度、季度、年度手工填报汇总全院及各个科室统计数据功能。</w:t>
            </w:r>
          </w:p>
          <w:p>
            <w:pPr>
              <w:spacing w:line="520" w:lineRule="exact"/>
              <w:ind w:firstLine="480" w:firstLineChars="200"/>
              <w:rPr>
                <w:rFonts w:ascii="宋体" w:hAnsi="宋体"/>
                <w:sz w:val="24"/>
              </w:rPr>
            </w:pPr>
          </w:p>
          <w:p>
            <w:pPr>
              <w:spacing w:line="520" w:lineRule="exact"/>
              <w:ind w:firstLine="480" w:firstLineChars="200"/>
              <w:rPr>
                <w:rFonts w:hint="eastAsia" w:ascii="宋体" w:hAnsi="宋体"/>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0" w:hRule="atLeast"/>
          <w:jc w:val="center"/>
        </w:trPr>
        <w:tc>
          <w:tcPr>
            <w:tcW w:w="883" w:type="dxa"/>
            <w:vMerge w:val="continue"/>
            <w:tcBorders>
              <w:right w:val="single" w:color="auto" w:sz="4" w:space="0"/>
            </w:tcBorders>
            <w:vAlign w:val="center"/>
          </w:tcPr>
          <w:p>
            <w:pPr>
              <w:spacing w:line="360" w:lineRule="auto"/>
              <w:jc w:val="center"/>
              <w:rPr>
                <w:rFonts w:ascii="宋体" w:hAnsi="宋体"/>
                <w:sz w:val="24"/>
              </w:rPr>
            </w:pPr>
          </w:p>
        </w:tc>
        <w:tc>
          <w:tcPr>
            <w:tcW w:w="1493" w:type="dxa"/>
            <w:vMerge w:val="continue"/>
            <w:tcBorders>
              <w:left w:val="single" w:color="auto" w:sz="4" w:space="0"/>
            </w:tcBorders>
            <w:vAlign w:val="center"/>
          </w:tcPr>
          <w:p>
            <w:pPr>
              <w:spacing w:line="360" w:lineRule="auto"/>
              <w:jc w:val="center"/>
              <w:rPr>
                <w:rFonts w:hint="eastAsia" w:ascii="宋体" w:hAnsi="宋体" w:cstheme="minorBidi"/>
                <w:sz w:val="24"/>
                <w:szCs w:val="22"/>
              </w:rPr>
            </w:pPr>
          </w:p>
        </w:tc>
        <w:tc>
          <w:tcPr>
            <w:tcW w:w="1617" w:type="dxa"/>
            <w:tcBorders>
              <w:top w:val="single" w:color="auto" w:sz="4" w:space="0"/>
            </w:tcBorders>
            <w:vAlign w:val="center"/>
          </w:tcPr>
          <w:p>
            <w:pPr>
              <w:spacing w:line="360" w:lineRule="auto"/>
              <w:jc w:val="center"/>
              <w:rPr>
                <w:rFonts w:hint="eastAsia"/>
              </w:rPr>
            </w:pPr>
            <w:r>
              <w:rPr>
                <w:rFonts w:hint="eastAsia" w:ascii="宋体" w:hAnsi="宋体"/>
                <w:sz w:val="24"/>
              </w:rPr>
              <w:t>▲数据收集</w:t>
            </w:r>
          </w:p>
        </w:tc>
        <w:tc>
          <w:tcPr>
            <w:tcW w:w="5663" w:type="dxa"/>
            <w:tcBorders>
              <w:top w:val="single" w:color="auto" w:sz="4" w:space="0"/>
            </w:tcBorders>
          </w:tcPr>
          <w:p>
            <w:pPr>
              <w:spacing w:line="520" w:lineRule="exact"/>
              <w:ind w:firstLine="480" w:firstLineChars="200"/>
              <w:rPr>
                <w:rFonts w:hint="eastAsia" w:ascii="仿宋_GB2312" w:hAnsi="仿宋_GB2312" w:eastAsia="仿宋_GB2312" w:cs="仿宋_GB2312"/>
                <w:sz w:val="32"/>
                <w:szCs w:val="32"/>
              </w:rPr>
            </w:pPr>
            <w:r>
              <w:rPr>
                <w:rFonts w:hint="eastAsia" w:ascii="宋体" w:hAnsi="宋体"/>
                <w:sz w:val="24"/>
              </w:rPr>
              <w:t>具备对评审标准（湖南版）第二部分数据指标分科室分部门分权限进行录入、收集、整理、分析、评分、审核功能。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46" w:hRule="atLeast"/>
          <w:jc w:val="center"/>
        </w:trPr>
        <w:tc>
          <w:tcPr>
            <w:tcW w:w="883" w:type="dxa"/>
            <w:tcBorders>
              <w:right w:val="single" w:color="auto" w:sz="4" w:space="0"/>
            </w:tcBorders>
            <w:vAlign w:val="center"/>
          </w:tcPr>
          <w:p>
            <w:pPr>
              <w:spacing w:line="360" w:lineRule="auto"/>
              <w:jc w:val="center"/>
              <w:rPr>
                <w:rFonts w:ascii="宋体" w:hAnsi="宋体"/>
                <w:sz w:val="24"/>
              </w:rPr>
            </w:pPr>
            <w:r>
              <w:rPr>
                <w:rFonts w:hint="eastAsia" w:ascii="宋体" w:hAnsi="宋体"/>
                <w:sz w:val="24"/>
              </w:rPr>
              <w:t>2</w:t>
            </w:r>
          </w:p>
        </w:tc>
        <w:tc>
          <w:tcPr>
            <w:tcW w:w="1493" w:type="dxa"/>
            <w:tcBorders>
              <w:left w:val="single" w:color="auto" w:sz="4" w:space="0"/>
            </w:tcBorders>
            <w:vAlign w:val="center"/>
          </w:tcPr>
          <w:p>
            <w:pPr>
              <w:spacing w:line="360" w:lineRule="auto"/>
              <w:jc w:val="center"/>
              <w:rPr>
                <w:rFonts w:ascii="宋体" w:hAnsi="宋体" w:cstheme="minorBidi"/>
                <w:sz w:val="24"/>
                <w:szCs w:val="22"/>
              </w:rPr>
            </w:pPr>
            <w:r>
              <w:rPr>
                <w:rFonts w:hint="eastAsia" w:ascii="宋体" w:hAnsi="宋体" w:cstheme="minorBidi"/>
                <w:sz w:val="24"/>
                <w:szCs w:val="22"/>
              </w:rPr>
              <w:t>指标报表</w:t>
            </w:r>
          </w:p>
        </w:tc>
        <w:tc>
          <w:tcPr>
            <w:tcW w:w="1617" w:type="dxa"/>
            <w:vAlign w:val="center"/>
          </w:tcPr>
          <w:p>
            <w:pPr>
              <w:spacing w:line="360" w:lineRule="auto"/>
              <w:jc w:val="center"/>
              <w:rPr>
                <w:rFonts w:ascii="宋体" w:hAnsi="宋体"/>
                <w:sz w:val="24"/>
              </w:rPr>
            </w:pPr>
            <w:r>
              <w:rPr>
                <w:rFonts w:hint="eastAsia"/>
              </w:rPr>
              <w:t>▲</w:t>
            </w:r>
            <w:r>
              <w:rPr>
                <w:rFonts w:hint="eastAsia" w:ascii="宋体" w:hAnsi="宋体"/>
                <w:sz w:val="24"/>
              </w:rPr>
              <w:t>报表统计</w:t>
            </w:r>
          </w:p>
        </w:tc>
        <w:tc>
          <w:tcPr>
            <w:tcW w:w="5663" w:type="dxa"/>
          </w:tcPr>
          <w:p>
            <w:pPr>
              <w:widowControl/>
              <w:numPr>
                <w:ilvl w:val="0"/>
                <w:numId w:val="29"/>
              </w:numPr>
              <w:spacing w:line="360" w:lineRule="auto"/>
              <w:jc w:val="left"/>
              <w:rPr>
                <w:rFonts w:ascii="宋体" w:hAnsi="宋体"/>
                <w:sz w:val="24"/>
              </w:rPr>
            </w:pPr>
            <w:r>
              <w:rPr>
                <w:rFonts w:hint="eastAsia" w:ascii="宋体" w:hAnsi="宋体"/>
                <w:sz w:val="24"/>
              </w:rPr>
              <w:t>系统预置20</w:t>
            </w:r>
            <w:r>
              <w:rPr>
                <w:rFonts w:ascii="宋体" w:hAnsi="宋体"/>
                <w:sz w:val="24"/>
              </w:rPr>
              <w:t>22</w:t>
            </w:r>
            <w:r>
              <w:rPr>
                <w:rFonts w:hint="eastAsia" w:ascii="宋体" w:hAnsi="宋体"/>
                <w:sz w:val="24"/>
              </w:rPr>
              <w:t>年版评审标准第一章资源配置与运行数据指标报表展示，包含床位配置、卫生技术人员配置、相关科室资源配置、运行指标以及科研指标相关的详细指标值；</w:t>
            </w:r>
          </w:p>
          <w:p>
            <w:pPr>
              <w:widowControl/>
              <w:numPr>
                <w:ilvl w:val="0"/>
                <w:numId w:val="29"/>
              </w:numPr>
              <w:spacing w:line="360" w:lineRule="auto"/>
              <w:jc w:val="left"/>
              <w:rPr>
                <w:rFonts w:ascii="宋体" w:hAnsi="宋体"/>
                <w:sz w:val="24"/>
              </w:rPr>
            </w:pPr>
            <w:r>
              <w:rPr>
                <w:rFonts w:hint="eastAsia" w:ascii="宋体" w:hAnsi="宋体"/>
                <w:sz w:val="24"/>
              </w:rPr>
              <w:t>系统预置202</w:t>
            </w:r>
            <w:r>
              <w:rPr>
                <w:rFonts w:ascii="宋体" w:hAnsi="宋体"/>
                <w:sz w:val="24"/>
              </w:rPr>
              <w:t>2</w:t>
            </w:r>
            <w:r>
              <w:rPr>
                <w:rFonts w:hint="eastAsia" w:ascii="宋体" w:hAnsi="宋体"/>
                <w:sz w:val="24"/>
              </w:rPr>
              <w:t>年版评审标准第二章医疗服务能力与医院质量安全指标报表展示，包含收治病种数量、住院术种数量以及DRG相关指标（DRG-DRGS组数、CMI值、时间指数、费用指数等；</w:t>
            </w:r>
          </w:p>
          <w:p>
            <w:pPr>
              <w:widowControl/>
              <w:numPr>
                <w:ilvl w:val="0"/>
                <w:numId w:val="29"/>
              </w:numPr>
              <w:spacing w:line="360" w:lineRule="auto"/>
              <w:jc w:val="left"/>
              <w:rPr>
                <w:rFonts w:ascii="宋体" w:hAnsi="宋体"/>
                <w:sz w:val="24"/>
              </w:rPr>
            </w:pPr>
            <w:r>
              <w:rPr>
                <w:rFonts w:hint="eastAsia" w:ascii="宋体" w:hAnsi="宋体"/>
                <w:sz w:val="24"/>
              </w:rPr>
              <w:t>系统预置202</w:t>
            </w:r>
            <w:r>
              <w:rPr>
                <w:rFonts w:ascii="宋体" w:hAnsi="宋体"/>
                <w:sz w:val="24"/>
              </w:rPr>
              <w:t>2</w:t>
            </w:r>
            <w:r>
              <w:rPr>
                <w:rFonts w:hint="eastAsia" w:ascii="宋体" w:hAnsi="宋体"/>
                <w:sz w:val="24"/>
              </w:rPr>
              <w:t>年版评审标准第三章重点专业质量控制指标报表展示，包含麻醉专业、重症医学专业、急诊专业、临床检验专业、病理专业、医院感染管理、临床用血、呼吸内科、产业专业、神经系统疾病、肾病专业、护理专业、药事管理专业、肝脏移植技术、肾脏移植技术、心脏移植技术、肺脏移植技术指标报表；</w:t>
            </w:r>
          </w:p>
          <w:p>
            <w:pPr>
              <w:widowControl/>
              <w:numPr>
                <w:ilvl w:val="0"/>
                <w:numId w:val="29"/>
              </w:numPr>
              <w:spacing w:line="360" w:lineRule="auto"/>
              <w:jc w:val="left"/>
              <w:rPr>
                <w:rFonts w:ascii="宋体" w:hAnsi="宋体"/>
                <w:sz w:val="24"/>
              </w:rPr>
            </w:pPr>
            <w:r>
              <w:rPr>
                <w:rFonts w:hint="eastAsia" w:ascii="宋体" w:hAnsi="宋体"/>
                <w:sz w:val="24"/>
              </w:rPr>
              <w:t>系统预置202</w:t>
            </w:r>
            <w:r>
              <w:rPr>
                <w:rFonts w:ascii="宋体" w:hAnsi="宋体"/>
                <w:sz w:val="24"/>
              </w:rPr>
              <w:t>2</w:t>
            </w:r>
            <w:r>
              <w:rPr>
                <w:rFonts w:hint="eastAsia" w:ascii="宋体" w:hAnsi="宋体"/>
                <w:sz w:val="24"/>
              </w:rPr>
              <w:t>年版评审标准第四章约定的单病种报表展示；</w:t>
            </w:r>
          </w:p>
          <w:p>
            <w:pPr>
              <w:widowControl/>
              <w:numPr>
                <w:ilvl w:val="0"/>
                <w:numId w:val="29"/>
              </w:numPr>
              <w:spacing w:line="360" w:lineRule="auto"/>
              <w:jc w:val="left"/>
              <w:rPr>
                <w:rFonts w:ascii="宋体" w:hAnsi="宋体"/>
                <w:sz w:val="24"/>
              </w:rPr>
            </w:pPr>
            <w:r>
              <w:rPr>
                <w:rFonts w:hint="eastAsia" w:ascii="宋体" w:hAnsi="宋体"/>
                <w:sz w:val="24"/>
              </w:rPr>
              <w:t>系统预置202</w:t>
            </w:r>
            <w:r>
              <w:rPr>
                <w:rFonts w:ascii="宋体" w:hAnsi="宋体"/>
                <w:sz w:val="24"/>
              </w:rPr>
              <w:t>2</w:t>
            </w:r>
            <w:r>
              <w:rPr>
                <w:rFonts w:hint="eastAsia" w:ascii="宋体" w:hAnsi="宋体"/>
                <w:sz w:val="24"/>
              </w:rPr>
              <w:t>年版评审标准第五章重点医疗技术临床应用指标报表展示；并支持依据医院实际开展的限制类技术种类可调整报表展示；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3" w:hRule="atLeast"/>
          <w:jc w:val="center"/>
        </w:trPr>
        <w:tc>
          <w:tcPr>
            <w:tcW w:w="883" w:type="dxa"/>
            <w:vMerge w:val="restart"/>
            <w:tcBorders>
              <w:right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ascii="Times New Roman" w:hAnsi="Times New Roman"/>
                <w:kern w:val="0"/>
                <w:sz w:val="24"/>
              </w:rPr>
              <w:t>3</w:t>
            </w:r>
          </w:p>
        </w:tc>
        <w:tc>
          <w:tcPr>
            <w:tcW w:w="1493" w:type="dxa"/>
            <w:vMerge w:val="restart"/>
            <w:tcBorders>
              <w:left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ascii="Times New Roman" w:hAnsi="Times New Roman"/>
                <w:kern w:val="0"/>
                <w:sz w:val="24"/>
              </w:rPr>
              <w:t>指标统计分析</w:t>
            </w:r>
          </w:p>
        </w:tc>
        <w:tc>
          <w:tcPr>
            <w:tcW w:w="1617" w:type="dxa"/>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指标分析</w:t>
            </w:r>
          </w:p>
        </w:tc>
        <w:tc>
          <w:tcPr>
            <w:tcW w:w="5663" w:type="dxa"/>
            <w:shd w:val="clear" w:color="auto" w:fill="auto"/>
            <w:vAlign w:val="center"/>
          </w:tcPr>
          <w:p>
            <w:pPr>
              <w:spacing w:line="360" w:lineRule="auto"/>
              <w:rPr>
                <w:rFonts w:ascii="宋体" w:hAnsi="宋体"/>
                <w:kern w:val="0"/>
                <w:sz w:val="24"/>
                <w:szCs w:val="20"/>
              </w:rPr>
            </w:pPr>
            <w:r>
              <w:rPr>
                <w:rFonts w:hint="eastAsia"/>
              </w:rPr>
              <w:t>1.</w:t>
            </w:r>
            <w:r>
              <w:rPr>
                <w:rFonts w:hint="eastAsia" w:ascii="宋体" w:hAnsi="宋体"/>
                <w:kern w:val="0"/>
                <w:sz w:val="24"/>
                <w:szCs w:val="20"/>
              </w:rPr>
              <w:t>系统支持直接展示指标属性（规模配置类、区间监测类）；</w:t>
            </w:r>
          </w:p>
          <w:p>
            <w:pPr>
              <w:spacing w:line="360" w:lineRule="auto"/>
              <w:rPr>
                <w:rFonts w:ascii="宋体" w:hAnsi="宋体"/>
                <w:kern w:val="0"/>
                <w:sz w:val="24"/>
                <w:szCs w:val="20"/>
              </w:rPr>
            </w:pPr>
            <w:r>
              <w:rPr>
                <w:rFonts w:hint="eastAsia" w:ascii="宋体" w:hAnsi="宋体"/>
                <w:kern w:val="0"/>
                <w:sz w:val="24"/>
                <w:szCs w:val="20"/>
              </w:rPr>
              <w:t>2.支持指标值图表展示</w:t>
            </w:r>
            <w:r>
              <w:rPr>
                <w:rFonts w:ascii="宋体" w:hAnsi="宋体"/>
                <w:kern w:val="0"/>
                <w:sz w:val="24"/>
                <w:szCs w:val="20"/>
              </w:rPr>
              <w:t>，</w:t>
            </w:r>
            <w:r>
              <w:rPr>
                <w:rFonts w:hint="eastAsia" w:ascii="宋体" w:hAnsi="宋体"/>
                <w:kern w:val="0"/>
                <w:sz w:val="24"/>
                <w:szCs w:val="20"/>
              </w:rPr>
              <w:t>支持结合目标值以柱状图展示指标走向，并支持指标图形的同期对比展示。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3" w:hRule="atLeast"/>
          <w:jc w:val="center"/>
        </w:trPr>
        <w:tc>
          <w:tcPr>
            <w:tcW w:w="883" w:type="dxa"/>
            <w:vMerge w:val="continue"/>
            <w:tcBorders>
              <w:right w:val="single" w:color="auto" w:sz="4" w:space="0"/>
            </w:tcBorders>
            <w:shd w:val="clear" w:color="auto" w:fill="auto"/>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shd w:val="clear" w:color="auto" w:fill="auto"/>
            <w:vAlign w:val="center"/>
          </w:tcPr>
          <w:p>
            <w:pPr>
              <w:spacing w:line="360" w:lineRule="auto"/>
              <w:jc w:val="center"/>
              <w:rPr>
                <w:rFonts w:ascii="Times New Roman" w:hAnsi="Times New Roman"/>
                <w:kern w:val="0"/>
                <w:sz w:val="24"/>
              </w:rPr>
            </w:pPr>
          </w:p>
        </w:tc>
        <w:tc>
          <w:tcPr>
            <w:tcW w:w="1617" w:type="dxa"/>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指标目录清单</w:t>
            </w:r>
          </w:p>
        </w:tc>
        <w:tc>
          <w:tcPr>
            <w:tcW w:w="5663" w:type="dxa"/>
            <w:shd w:val="clear" w:color="auto" w:fill="auto"/>
            <w:vAlign w:val="center"/>
          </w:tcPr>
          <w:p>
            <w:pPr>
              <w:spacing w:line="360" w:lineRule="auto"/>
              <w:rPr>
                <w:rFonts w:ascii="宋体" w:hAnsi="宋体"/>
                <w:kern w:val="0"/>
                <w:sz w:val="24"/>
              </w:rPr>
            </w:pPr>
            <w:r>
              <w:rPr>
                <w:rFonts w:hint="eastAsia"/>
              </w:rPr>
              <w:t>1.</w:t>
            </w:r>
            <w:r>
              <w:rPr>
                <w:rFonts w:hint="eastAsia" w:ascii="宋体" w:hAnsi="宋体"/>
                <w:kern w:val="0"/>
                <w:sz w:val="24"/>
              </w:rPr>
              <w:t>依照《湖南评审细则》实施细则要求提供第二部分近四年指标目录清单；</w:t>
            </w:r>
          </w:p>
          <w:p>
            <w:pPr>
              <w:spacing w:line="360" w:lineRule="auto"/>
              <w:rPr>
                <w:rFonts w:ascii="宋体" w:hAnsi="宋体"/>
                <w:kern w:val="0"/>
                <w:sz w:val="24"/>
              </w:rPr>
            </w:pPr>
            <w:r>
              <w:rPr>
                <w:rFonts w:hint="eastAsia" w:ascii="宋体" w:hAnsi="宋体"/>
                <w:kern w:val="0"/>
                <w:sz w:val="24"/>
              </w:rPr>
              <w:t>2.指标目录清单包含指标名称、指标定义、指标采集方式、责任科室、指标属性、指标值、中位数、平均数、最后一年数据等。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8" w:hRule="atLeast"/>
          <w:jc w:val="center"/>
        </w:trPr>
        <w:tc>
          <w:tcPr>
            <w:tcW w:w="883" w:type="dxa"/>
            <w:vMerge w:val="restart"/>
            <w:tcBorders>
              <w:right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ascii="Times New Roman" w:hAnsi="Times New Roman"/>
                <w:kern w:val="0"/>
                <w:sz w:val="24"/>
              </w:rPr>
              <w:t>4</w:t>
            </w:r>
          </w:p>
        </w:tc>
        <w:tc>
          <w:tcPr>
            <w:tcW w:w="1493" w:type="dxa"/>
            <w:vMerge w:val="restart"/>
            <w:tcBorders>
              <w:left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ascii="Times New Roman" w:hAnsi="Times New Roman"/>
                <w:kern w:val="0"/>
                <w:sz w:val="24"/>
              </w:rPr>
              <w:t>任务管理</w:t>
            </w:r>
          </w:p>
        </w:tc>
        <w:tc>
          <w:tcPr>
            <w:tcW w:w="1617" w:type="dxa"/>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任务分派</w:t>
            </w:r>
          </w:p>
        </w:tc>
        <w:tc>
          <w:tcPr>
            <w:tcW w:w="5663" w:type="dxa"/>
            <w:shd w:val="clear" w:color="auto" w:fill="auto"/>
            <w:vAlign w:val="center"/>
          </w:tcPr>
          <w:p>
            <w:pPr>
              <w:numPr>
                <w:ilvl w:val="0"/>
                <w:numId w:val="30"/>
              </w:numPr>
              <w:spacing w:line="360" w:lineRule="auto"/>
              <w:rPr>
                <w:rFonts w:ascii="宋体" w:hAnsi="宋体" w:cs="宋体"/>
                <w:sz w:val="24"/>
              </w:rPr>
            </w:pPr>
            <w:r>
              <w:rPr>
                <w:rFonts w:hint="eastAsia" w:ascii="宋体" w:hAnsi="宋体" w:cs="宋体"/>
                <w:sz w:val="24"/>
              </w:rPr>
              <w:t>支持用户筛选指标建立执行任务，分派给指定的科室并可设置任务期限；</w:t>
            </w:r>
          </w:p>
          <w:p>
            <w:pPr>
              <w:numPr>
                <w:ilvl w:val="0"/>
                <w:numId w:val="30"/>
              </w:numPr>
              <w:spacing w:line="360" w:lineRule="auto"/>
              <w:rPr>
                <w:rFonts w:ascii="宋体" w:hAnsi="宋体" w:cs="宋体"/>
                <w:sz w:val="24"/>
              </w:rPr>
            </w:pPr>
            <w:r>
              <w:rPr>
                <w:rFonts w:hint="eastAsia" w:ascii="宋体" w:hAnsi="宋体" w:cs="宋体"/>
                <w:sz w:val="24"/>
              </w:rPr>
              <w:t>支持任务执行进度跟踪；</w:t>
            </w:r>
          </w:p>
          <w:p>
            <w:pPr>
              <w:numPr>
                <w:ilvl w:val="0"/>
                <w:numId w:val="30"/>
              </w:numPr>
              <w:spacing w:line="360" w:lineRule="auto"/>
              <w:rPr>
                <w:rFonts w:ascii="宋体" w:hAnsi="宋体" w:cs="宋体"/>
                <w:sz w:val="24"/>
              </w:rPr>
            </w:pPr>
            <w:r>
              <w:rPr>
                <w:rFonts w:hint="eastAsia" w:ascii="宋体" w:hAnsi="宋体" w:cs="宋体"/>
                <w:sz w:val="24"/>
              </w:rPr>
              <w:t>支持分派人终止未执行的任务；</w:t>
            </w:r>
          </w:p>
          <w:p>
            <w:pPr>
              <w:numPr>
                <w:ilvl w:val="0"/>
                <w:numId w:val="30"/>
              </w:numPr>
              <w:spacing w:line="360" w:lineRule="auto"/>
              <w:rPr>
                <w:rFonts w:ascii="宋体" w:hAnsi="宋体" w:cs="宋体"/>
                <w:sz w:val="24"/>
              </w:rPr>
            </w:pPr>
            <w:r>
              <w:rPr>
                <w:rFonts w:hint="eastAsia" w:ascii="宋体" w:hAnsi="宋体" w:cs="宋体"/>
                <w:sz w:val="24"/>
              </w:rPr>
              <w:t>支持分派人选择任务类型（指标录入、指标核查）。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3" w:hRule="atLeast"/>
          <w:jc w:val="center"/>
        </w:trPr>
        <w:tc>
          <w:tcPr>
            <w:tcW w:w="883" w:type="dxa"/>
            <w:vMerge w:val="continue"/>
            <w:tcBorders>
              <w:right w:val="single" w:color="auto" w:sz="4" w:space="0"/>
            </w:tcBorders>
            <w:shd w:val="clear" w:color="auto" w:fill="auto"/>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shd w:val="clear" w:color="auto" w:fill="auto"/>
            <w:vAlign w:val="center"/>
          </w:tcPr>
          <w:p>
            <w:pPr>
              <w:spacing w:line="360" w:lineRule="auto"/>
              <w:jc w:val="center"/>
              <w:rPr>
                <w:rFonts w:ascii="Times New Roman" w:hAnsi="Times New Roman"/>
                <w:kern w:val="0"/>
                <w:sz w:val="24"/>
              </w:rPr>
            </w:pPr>
          </w:p>
        </w:tc>
        <w:tc>
          <w:tcPr>
            <w:tcW w:w="1617" w:type="dxa"/>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我的任务</w:t>
            </w:r>
          </w:p>
        </w:tc>
        <w:tc>
          <w:tcPr>
            <w:tcW w:w="5663" w:type="dxa"/>
            <w:shd w:val="clear" w:color="auto" w:fill="auto"/>
            <w:vAlign w:val="center"/>
          </w:tcPr>
          <w:p>
            <w:pPr>
              <w:spacing w:line="360" w:lineRule="auto"/>
              <w:rPr>
                <w:rFonts w:ascii="宋体" w:hAnsi="宋体" w:cs="宋体"/>
                <w:sz w:val="24"/>
              </w:rPr>
            </w:pPr>
            <w:r>
              <w:rPr>
                <w:rFonts w:hint="eastAsia" w:ascii="宋体" w:hAnsi="宋体" w:cs="宋体"/>
                <w:sz w:val="24"/>
              </w:rPr>
              <w:t>属于用户所属科室的任务即为我要执行的任务</w:t>
            </w:r>
          </w:p>
          <w:p>
            <w:pPr>
              <w:numPr>
                <w:ilvl w:val="0"/>
                <w:numId w:val="31"/>
              </w:numPr>
              <w:spacing w:line="360" w:lineRule="auto"/>
              <w:rPr>
                <w:rFonts w:ascii="宋体" w:hAnsi="宋体" w:cs="宋体"/>
                <w:sz w:val="24"/>
              </w:rPr>
            </w:pPr>
            <w:r>
              <w:rPr>
                <w:rFonts w:hint="eastAsia" w:ascii="宋体" w:hAnsi="宋体" w:cs="宋体"/>
                <w:sz w:val="24"/>
              </w:rPr>
              <w:t>支持快捷执行指标录入；</w:t>
            </w:r>
          </w:p>
          <w:p>
            <w:pPr>
              <w:numPr>
                <w:ilvl w:val="0"/>
                <w:numId w:val="31"/>
              </w:numPr>
              <w:spacing w:line="360" w:lineRule="auto"/>
              <w:rPr>
                <w:rFonts w:ascii="宋体" w:hAnsi="宋体" w:cs="宋体"/>
                <w:sz w:val="24"/>
              </w:rPr>
            </w:pPr>
            <w:r>
              <w:rPr>
                <w:rFonts w:hint="eastAsia" w:ascii="宋体" w:hAnsi="宋体" w:cs="宋体"/>
                <w:sz w:val="24"/>
              </w:rPr>
              <w:t>支持查看任务执行期限以及是否超期。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3" w:hRule="atLeast"/>
          <w:jc w:val="center"/>
        </w:trPr>
        <w:tc>
          <w:tcPr>
            <w:tcW w:w="883" w:type="dxa"/>
            <w:vMerge w:val="continue"/>
            <w:tcBorders>
              <w:right w:val="single" w:color="auto" w:sz="4" w:space="0"/>
            </w:tcBorders>
            <w:shd w:val="clear" w:color="auto" w:fill="auto"/>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shd w:val="clear" w:color="auto" w:fill="auto"/>
            <w:vAlign w:val="center"/>
          </w:tcPr>
          <w:p>
            <w:pPr>
              <w:spacing w:line="360" w:lineRule="auto"/>
              <w:jc w:val="center"/>
              <w:rPr>
                <w:rFonts w:ascii="Times New Roman" w:hAnsi="Times New Roman"/>
                <w:kern w:val="0"/>
                <w:sz w:val="24"/>
              </w:rPr>
            </w:pPr>
          </w:p>
        </w:tc>
        <w:tc>
          <w:tcPr>
            <w:tcW w:w="1617" w:type="dxa"/>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任务统计</w:t>
            </w:r>
          </w:p>
        </w:tc>
        <w:tc>
          <w:tcPr>
            <w:tcW w:w="5663" w:type="dxa"/>
            <w:shd w:val="clear" w:color="auto" w:fill="auto"/>
            <w:vAlign w:val="center"/>
          </w:tcPr>
          <w:p>
            <w:pPr>
              <w:spacing w:line="360" w:lineRule="auto"/>
              <w:rPr>
                <w:rFonts w:ascii="宋体" w:hAnsi="宋体" w:cs="宋体"/>
                <w:sz w:val="24"/>
              </w:rPr>
            </w:pPr>
            <w:r>
              <w:rPr>
                <w:rFonts w:hint="eastAsia" w:ascii="宋体" w:hAnsi="宋体" w:cs="宋体"/>
                <w:sz w:val="24"/>
              </w:rPr>
              <w:t>支持统计各科室任务数量、已完成数量、待执行数量以及超期任务数量。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46" w:hRule="atLeast"/>
          <w:jc w:val="center"/>
        </w:trPr>
        <w:tc>
          <w:tcPr>
            <w:tcW w:w="883" w:type="dxa"/>
            <w:tcBorders>
              <w:right w:val="single" w:color="auto" w:sz="4" w:space="0"/>
            </w:tcBorders>
            <w:vAlign w:val="center"/>
          </w:tcPr>
          <w:p>
            <w:pPr>
              <w:spacing w:line="360" w:lineRule="auto"/>
              <w:jc w:val="center"/>
              <w:rPr>
                <w:rFonts w:ascii="宋体" w:hAnsi="宋体" w:eastAsiaTheme="minorEastAsia"/>
                <w:sz w:val="24"/>
              </w:rPr>
            </w:pPr>
            <w:r>
              <w:rPr>
                <w:rFonts w:hint="eastAsia" w:ascii="宋体" w:hAnsi="宋体"/>
                <w:sz w:val="24"/>
              </w:rPr>
              <w:t>5</w:t>
            </w:r>
          </w:p>
        </w:tc>
        <w:tc>
          <w:tcPr>
            <w:tcW w:w="1493" w:type="dxa"/>
            <w:tcBorders>
              <w:left w:val="single" w:color="auto" w:sz="4" w:space="0"/>
            </w:tcBorders>
            <w:vAlign w:val="center"/>
          </w:tcPr>
          <w:p>
            <w:pPr>
              <w:spacing w:line="360" w:lineRule="auto"/>
              <w:jc w:val="center"/>
              <w:rPr>
                <w:rFonts w:ascii="宋体" w:hAnsi="宋体" w:cstheme="minorBidi"/>
                <w:sz w:val="24"/>
                <w:szCs w:val="22"/>
              </w:rPr>
            </w:pPr>
            <w:r>
              <w:rPr>
                <w:rFonts w:hint="eastAsia" w:ascii="宋体" w:hAnsi="宋体" w:cstheme="minorBidi"/>
                <w:sz w:val="24"/>
                <w:szCs w:val="22"/>
              </w:rPr>
              <w:t>指标配置</w:t>
            </w:r>
          </w:p>
        </w:tc>
        <w:tc>
          <w:tcPr>
            <w:tcW w:w="1617" w:type="dxa"/>
            <w:vAlign w:val="center"/>
          </w:tcPr>
          <w:p>
            <w:pPr>
              <w:spacing w:line="360" w:lineRule="auto"/>
              <w:jc w:val="center"/>
              <w:rPr>
                <w:rFonts w:ascii="宋体" w:hAnsi="宋体" w:eastAsiaTheme="minorEastAsia"/>
                <w:sz w:val="24"/>
              </w:rPr>
            </w:pPr>
            <w:r>
              <w:rPr>
                <w:rFonts w:hint="eastAsia"/>
              </w:rPr>
              <w:t>▲</w:t>
            </w:r>
            <w:r>
              <w:rPr>
                <w:rFonts w:hint="eastAsia" w:ascii="宋体" w:hAnsi="宋体"/>
                <w:sz w:val="24"/>
              </w:rPr>
              <w:t>指标管理</w:t>
            </w:r>
          </w:p>
        </w:tc>
        <w:tc>
          <w:tcPr>
            <w:tcW w:w="5663" w:type="dxa"/>
          </w:tcPr>
          <w:p>
            <w:pPr>
              <w:widowControl/>
              <w:spacing w:line="360" w:lineRule="auto"/>
              <w:jc w:val="left"/>
              <w:rPr>
                <w:rFonts w:ascii="宋体" w:hAnsi="宋体" w:cs="宋体"/>
                <w:sz w:val="24"/>
              </w:rPr>
            </w:pPr>
            <w:r>
              <w:rPr>
                <w:rFonts w:hint="eastAsia" w:ascii="宋体" w:hAnsi="宋体" w:cs="宋体"/>
                <w:sz w:val="24"/>
              </w:rPr>
              <w:t>系统预置</w:t>
            </w:r>
            <w:r>
              <w:rPr>
                <w:rFonts w:hint="eastAsia" w:ascii="宋体" w:hAnsi="宋体"/>
                <w:kern w:val="0"/>
                <w:sz w:val="24"/>
              </w:rPr>
              <w:t>《湖南评审细则》</w:t>
            </w:r>
            <w:r>
              <w:rPr>
                <w:rFonts w:hint="eastAsia" w:ascii="宋体" w:hAnsi="宋体" w:cs="宋体"/>
                <w:kern w:val="0"/>
                <w:sz w:val="24"/>
              </w:rPr>
              <w:t>第二部分</w:t>
            </w:r>
            <w:r>
              <w:rPr>
                <w:rFonts w:hint="eastAsia" w:ascii="宋体" w:hAnsi="宋体" w:cs="宋体"/>
                <w:sz w:val="24"/>
              </w:rPr>
              <w:t>指标库</w:t>
            </w:r>
          </w:p>
          <w:p>
            <w:pPr>
              <w:widowControl/>
              <w:spacing w:line="360" w:lineRule="auto"/>
              <w:jc w:val="left"/>
              <w:rPr>
                <w:rFonts w:ascii="宋体" w:hAnsi="宋体" w:cs="宋体"/>
                <w:sz w:val="24"/>
              </w:rPr>
            </w:pPr>
            <w:r>
              <w:rPr>
                <w:rFonts w:hint="eastAsia" w:ascii="宋体" w:hAnsi="宋体" w:cs="宋体"/>
                <w:sz w:val="24"/>
              </w:rPr>
              <w:t>1.支持根据省内实施细则扩充指标；</w:t>
            </w:r>
          </w:p>
          <w:p>
            <w:pPr>
              <w:widowControl/>
              <w:spacing w:line="360" w:lineRule="auto"/>
              <w:jc w:val="left"/>
              <w:rPr>
                <w:rFonts w:ascii="宋体" w:hAnsi="宋体" w:cs="宋体"/>
                <w:sz w:val="24"/>
              </w:rPr>
            </w:pPr>
            <w:r>
              <w:rPr>
                <w:rFonts w:hint="eastAsia" w:ascii="宋体" w:hAnsi="宋体" w:cs="宋体"/>
                <w:sz w:val="24"/>
              </w:rPr>
              <w:t>2.支持指标属性（规模配比、连续监测）配置以及指标目录清单要求的指标数据定义、采集数据源、采集方式等要素配置；</w:t>
            </w:r>
          </w:p>
          <w:p>
            <w:pPr>
              <w:widowControl/>
              <w:spacing w:line="360" w:lineRule="auto"/>
              <w:jc w:val="left"/>
              <w:rPr>
                <w:rFonts w:ascii="宋体" w:hAnsi="宋体" w:cs="宋体"/>
                <w:sz w:val="24"/>
              </w:rPr>
            </w:pPr>
            <w:r>
              <w:rPr>
                <w:rFonts w:hint="eastAsia" w:ascii="宋体" w:hAnsi="宋体" w:cs="宋体"/>
                <w:sz w:val="24"/>
              </w:rPr>
              <w:t>3.</w:t>
            </w:r>
            <w:r>
              <w:rPr>
                <w:rFonts w:hint="eastAsia" w:ascii="宋体" w:hAnsi="宋体" w:cs="宋体"/>
                <w:kern w:val="0"/>
                <w:sz w:val="24"/>
              </w:rPr>
              <w:t>指标取数信息，取数信息包含数据源、统计频率、钻取信息等，并支持二次计算，计算公式有：行求和、列求和、平均值、百分比、对比值等。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83" w:type="dxa"/>
            <w:vMerge w:val="restart"/>
            <w:tcBorders>
              <w:right w:val="single" w:color="auto" w:sz="4" w:space="0"/>
            </w:tcBorders>
            <w:vAlign w:val="center"/>
          </w:tcPr>
          <w:p>
            <w:pPr>
              <w:spacing w:line="360" w:lineRule="auto"/>
              <w:jc w:val="center"/>
              <w:rPr>
                <w:rFonts w:ascii="Times New Roman" w:hAnsi="Times New Roman"/>
                <w:kern w:val="0"/>
                <w:sz w:val="24"/>
              </w:rPr>
            </w:pPr>
            <w:r>
              <w:rPr>
                <w:rFonts w:ascii="Times New Roman" w:hAnsi="Times New Roman"/>
                <w:kern w:val="0"/>
                <w:sz w:val="24"/>
              </w:rPr>
              <w:t>6</w:t>
            </w:r>
          </w:p>
        </w:tc>
        <w:tc>
          <w:tcPr>
            <w:tcW w:w="1493" w:type="dxa"/>
            <w:vMerge w:val="restart"/>
            <w:tcBorders>
              <w:left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ascii="Times New Roman" w:hAnsi="Times New Roman"/>
                <w:kern w:val="0"/>
                <w:sz w:val="24"/>
              </w:rPr>
              <w:t>指标数据管理</w:t>
            </w:r>
          </w:p>
        </w:tc>
        <w:tc>
          <w:tcPr>
            <w:tcW w:w="1617" w:type="dxa"/>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数据管理</w:t>
            </w:r>
          </w:p>
        </w:tc>
        <w:tc>
          <w:tcPr>
            <w:tcW w:w="5663" w:type="dxa"/>
            <w:shd w:val="clear" w:color="auto" w:fill="auto"/>
            <w:vAlign w:val="center"/>
          </w:tcPr>
          <w:p>
            <w:pPr>
              <w:spacing w:line="360" w:lineRule="auto"/>
              <w:jc w:val="left"/>
              <w:rPr>
                <w:rFonts w:ascii="Times New Roman" w:hAnsi="Times New Roman"/>
                <w:kern w:val="0"/>
                <w:sz w:val="24"/>
              </w:rPr>
            </w:pPr>
            <w:r>
              <w:rPr>
                <w:rFonts w:hint="eastAsia" w:ascii="宋体" w:hAnsi="宋体"/>
                <w:sz w:val="24"/>
              </w:rPr>
              <w:t>指标数据管理（含科级）：管理汇总的指标数据，提供添、删、改、查的功能。指标的查看和操作能可以通过权限进行控制。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shd w:val="clear" w:color="auto" w:fill="auto"/>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取数管理</w:t>
            </w:r>
          </w:p>
        </w:tc>
        <w:tc>
          <w:tcPr>
            <w:tcW w:w="5663" w:type="dxa"/>
            <w:tcBorders>
              <w:top w:val="single" w:color="auto" w:sz="4" w:space="0"/>
              <w:bottom w:val="single" w:color="auto" w:sz="4" w:space="0"/>
            </w:tcBorders>
            <w:shd w:val="clear" w:color="auto" w:fill="auto"/>
            <w:vAlign w:val="center"/>
          </w:tcPr>
          <w:p>
            <w:pPr>
              <w:spacing w:line="360" w:lineRule="auto"/>
              <w:jc w:val="left"/>
              <w:rPr>
                <w:rFonts w:ascii="宋体" w:hAnsi="宋体"/>
                <w:kern w:val="0"/>
                <w:sz w:val="24"/>
                <w:szCs w:val="20"/>
              </w:rPr>
            </w:pPr>
            <w:r>
              <w:rPr>
                <w:rFonts w:hint="eastAsia" w:ascii="宋体" w:hAnsi="宋体"/>
                <w:kern w:val="0"/>
                <w:sz w:val="24"/>
                <w:szCs w:val="20"/>
              </w:rPr>
              <w:t>配置自动汇总指标数据的时间及频率，并提供手动汇总的功能。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5"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shd w:val="clear" w:color="auto" w:fill="auto"/>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shd w:val="clear" w:color="auto" w:fill="auto"/>
            <w:vAlign w:val="center"/>
          </w:tcPr>
          <w:p>
            <w:pPr>
              <w:spacing w:line="360" w:lineRule="auto"/>
              <w:jc w:val="center"/>
              <w:rPr>
                <w:rFonts w:ascii="Times New Roman" w:hAnsi="Times New Roman"/>
                <w:kern w:val="0"/>
                <w:sz w:val="24"/>
              </w:rPr>
            </w:pPr>
            <w:r>
              <w:rPr>
                <w:rFonts w:hint="eastAsia"/>
              </w:rPr>
              <w:t>▲</w:t>
            </w:r>
            <w:r>
              <w:rPr>
                <w:rFonts w:hint="eastAsia" w:ascii="Times New Roman" w:hAnsi="Times New Roman"/>
                <w:kern w:val="0"/>
                <w:sz w:val="24"/>
              </w:rPr>
              <w:t>目标值管理</w:t>
            </w:r>
          </w:p>
        </w:tc>
        <w:tc>
          <w:tcPr>
            <w:tcW w:w="5663" w:type="dxa"/>
            <w:tcBorders>
              <w:top w:val="single" w:color="auto" w:sz="4" w:space="0"/>
              <w:bottom w:val="single" w:color="auto" w:sz="4" w:space="0"/>
            </w:tcBorders>
            <w:shd w:val="clear" w:color="auto" w:fill="auto"/>
            <w:vAlign w:val="center"/>
          </w:tcPr>
          <w:p>
            <w:pPr>
              <w:spacing w:line="360" w:lineRule="auto"/>
              <w:jc w:val="left"/>
              <w:rPr>
                <w:rFonts w:ascii="宋体" w:hAnsi="宋体"/>
                <w:kern w:val="0"/>
                <w:sz w:val="24"/>
                <w:szCs w:val="20"/>
              </w:rPr>
            </w:pPr>
            <w:r>
              <w:rPr>
                <w:rFonts w:hint="eastAsia" w:ascii="宋体" w:hAnsi="宋体"/>
                <w:kern w:val="0"/>
                <w:sz w:val="24"/>
                <w:szCs w:val="20"/>
              </w:rPr>
              <w:t>1.配置指标在不同时间维度的目标值，用于指标预警、指标列表展示；</w:t>
            </w:r>
          </w:p>
          <w:p>
            <w:pPr>
              <w:spacing w:line="360" w:lineRule="auto"/>
              <w:jc w:val="left"/>
              <w:rPr>
                <w:rFonts w:ascii="宋体" w:hAnsi="宋体"/>
                <w:kern w:val="0"/>
                <w:sz w:val="24"/>
                <w:szCs w:val="20"/>
              </w:rPr>
            </w:pPr>
            <w:r>
              <w:rPr>
                <w:rFonts w:hint="eastAsia"/>
              </w:rPr>
              <w:t>2.</w:t>
            </w:r>
            <w:r>
              <w:rPr>
                <w:rFonts w:hint="eastAsia" w:ascii="宋体" w:hAnsi="宋体"/>
                <w:kern w:val="0"/>
                <w:sz w:val="24"/>
                <w:szCs w:val="20"/>
              </w:rPr>
              <w:t>指标值支持单指标值管理也支持区间目标值配置。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6"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vAlign w:val="center"/>
          </w:tcPr>
          <w:p>
            <w:pPr>
              <w:spacing w:line="360" w:lineRule="auto"/>
              <w:jc w:val="center"/>
              <w:rPr>
                <w:rFonts w:ascii="Times New Roman" w:hAnsi="Times New Roman"/>
                <w:kern w:val="0"/>
                <w:sz w:val="24"/>
              </w:rPr>
            </w:pPr>
            <w:r>
              <w:rPr>
                <w:rFonts w:hint="eastAsia"/>
              </w:rPr>
              <w:t>▲</w:t>
            </w:r>
            <w:r>
              <w:rPr>
                <w:rFonts w:hint="eastAsia" w:ascii="宋体" w:hAnsi="宋体"/>
                <w:kern w:val="0"/>
                <w:sz w:val="24"/>
                <w:szCs w:val="20"/>
              </w:rPr>
              <w:t>Excel导入</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对于无法提供业务系统数据源进行汇总的指标，可以把基础数据以Excel的格式导入到数据库，然后再使用指标管理功能进行汇总。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ascii="宋体" w:hAnsi="宋体"/>
                <w:kern w:val="0"/>
                <w:sz w:val="24"/>
                <w:szCs w:val="20"/>
              </w:rPr>
              <w:t>系统数据字典</w:t>
            </w:r>
          </w:p>
        </w:tc>
        <w:tc>
          <w:tcPr>
            <w:tcW w:w="5663" w:type="dxa"/>
            <w:tcBorders>
              <w:top w:val="single" w:color="auto" w:sz="4" w:space="0"/>
              <w:bottom w:val="single" w:color="auto" w:sz="4" w:space="0"/>
            </w:tcBorders>
            <w:vAlign w:val="center"/>
          </w:tcPr>
          <w:p>
            <w:pPr>
              <w:spacing w:line="360" w:lineRule="auto"/>
              <w:jc w:val="left"/>
              <w:rPr>
                <w:rFonts w:ascii="宋体" w:hAnsi="宋体"/>
                <w:kern w:val="0"/>
                <w:sz w:val="24"/>
                <w:szCs w:val="20"/>
              </w:rPr>
            </w:pPr>
            <w:r>
              <w:rPr>
                <w:rFonts w:hint="eastAsia" w:ascii="宋体" w:hAnsi="宋体"/>
                <w:kern w:val="0"/>
                <w:sz w:val="24"/>
                <w:szCs w:val="20"/>
              </w:rPr>
              <w:t>配置系统字典信息，如菜单、指标类型、报表类型等。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6"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条件配置</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配置查询条件，分为时间、文本、下拉列表，下拉列表的内容可以动态加载，并且可以实现多个下拉列表之间的联动，允许下拉列表多选。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系统设置</w:t>
            </w:r>
          </w:p>
        </w:tc>
        <w:tc>
          <w:tcPr>
            <w:tcW w:w="5663" w:type="dxa"/>
            <w:tcBorders>
              <w:top w:val="single" w:color="auto" w:sz="4" w:space="0"/>
              <w:bottom w:val="single" w:color="auto" w:sz="4" w:space="0"/>
            </w:tcBorders>
            <w:vAlign w:val="center"/>
          </w:tcPr>
          <w:p>
            <w:pPr>
              <w:spacing w:line="360" w:lineRule="auto"/>
              <w:jc w:val="left"/>
              <w:rPr>
                <w:rFonts w:ascii="宋体" w:hAnsi="宋体"/>
                <w:kern w:val="0"/>
                <w:sz w:val="24"/>
                <w:szCs w:val="20"/>
              </w:rPr>
            </w:pPr>
            <w:r>
              <w:rPr>
                <w:rFonts w:hint="eastAsia" w:ascii="宋体" w:hAnsi="宋体"/>
                <w:kern w:val="0"/>
                <w:sz w:val="24"/>
                <w:szCs w:val="20"/>
              </w:rPr>
              <w:t>可配置医院名称、指标小数位数，指标冻结设置、指标列表展示方式等。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4"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24"/>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权限管理</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各个模块配置成可控制的权限，用于控制用户登录后查看的内容；可管理权限组，控制科室成员在科室管理权限组的权限范围内进行增、删、改、查；可以管理用户，支持赋予用户权限或权限组。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4" w:hRule="atLeast"/>
          <w:jc w:val="center"/>
        </w:trPr>
        <w:tc>
          <w:tcPr>
            <w:tcW w:w="883" w:type="dxa"/>
            <w:vMerge w:val="restart"/>
            <w:tcBorders>
              <w:right w:val="single" w:color="auto" w:sz="4" w:space="0"/>
            </w:tcBorders>
            <w:vAlign w:val="center"/>
          </w:tcPr>
          <w:p>
            <w:pPr>
              <w:spacing w:line="360" w:lineRule="auto"/>
              <w:jc w:val="center"/>
              <w:rPr>
                <w:rFonts w:ascii="Times New Roman" w:hAnsi="Times New Roman"/>
                <w:kern w:val="0"/>
                <w:sz w:val="24"/>
              </w:rPr>
            </w:pPr>
            <w:r>
              <w:rPr>
                <w:rFonts w:ascii="Times New Roman" w:hAnsi="Times New Roman"/>
                <w:kern w:val="0"/>
                <w:sz w:val="24"/>
              </w:rPr>
              <w:t>7</w:t>
            </w:r>
          </w:p>
        </w:tc>
        <w:tc>
          <w:tcPr>
            <w:tcW w:w="1493" w:type="dxa"/>
            <w:vMerge w:val="restart"/>
            <w:tcBorders>
              <w:left w:val="single" w:color="auto" w:sz="4" w:space="0"/>
            </w:tcBorders>
            <w:vAlign w:val="center"/>
          </w:tcPr>
          <w:p>
            <w:pPr>
              <w:spacing w:line="360" w:lineRule="auto"/>
              <w:jc w:val="center"/>
              <w:rPr>
                <w:rFonts w:ascii="Times New Roman" w:hAnsi="Times New Roman"/>
                <w:kern w:val="0"/>
                <w:sz w:val="24"/>
              </w:rPr>
            </w:pPr>
            <w:r>
              <w:rPr>
                <w:rFonts w:hint="eastAsia" w:ascii="Times New Roman" w:hAnsi="Times New Roman"/>
                <w:kern w:val="0"/>
                <w:sz w:val="24"/>
              </w:rPr>
              <w:t>评分管理</w:t>
            </w:r>
          </w:p>
          <w:p>
            <w:pPr>
              <w:spacing w:line="360" w:lineRule="auto"/>
              <w:jc w:val="center"/>
              <w:rPr>
                <w:rFonts w:ascii="Times New Roman" w:hAnsi="Times New Roman"/>
                <w:kern w:val="0"/>
                <w:sz w:val="24"/>
              </w:rPr>
            </w:pPr>
            <w:r>
              <w:rPr>
                <w:rFonts w:hint="eastAsia" w:ascii="Times New Roman" w:hAnsi="Times New Roman"/>
                <w:kern w:val="0"/>
                <w:sz w:val="18"/>
                <w:szCs w:val="18"/>
              </w:rPr>
              <w:t>（仅适用湖南）</w:t>
            </w: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等次分值配置</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依照湖南省实施细则预设等次以及对应分值；支持分值修改。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4"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18"/>
                <w:szCs w:val="18"/>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评分规则配置</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1.依照湖南省实施细则支持准入指标、纵向对比（高优、低优）、横向对比（高优、低优）评分规则植入；</w:t>
            </w:r>
          </w:p>
          <w:p>
            <w:pPr>
              <w:spacing w:line="360" w:lineRule="auto"/>
              <w:rPr>
                <w:rFonts w:ascii="宋体" w:hAnsi="宋体"/>
                <w:kern w:val="0"/>
                <w:sz w:val="24"/>
                <w:szCs w:val="20"/>
              </w:rPr>
            </w:pPr>
            <w:r>
              <w:rPr>
                <w:rFonts w:hint="eastAsia" w:ascii="宋体" w:hAnsi="宋体"/>
                <w:kern w:val="0"/>
                <w:sz w:val="24"/>
                <w:szCs w:val="20"/>
              </w:rPr>
              <w:t>2.预置湖南省单病种评分规则，支持对应指标配置为单病种评分规则。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4"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18"/>
                <w:szCs w:val="18"/>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评分计算管理</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1.系统获取各指标数据并设置好评分规则后，可由系统自动根据规则评分；</w:t>
            </w:r>
          </w:p>
          <w:p>
            <w:pPr>
              <w:spacing w:line="360" w:lineRule="auto"/>
              <w:rPr>
                <w:rFonts w:ascii="宋体" w:hAnsi="宋体"/>
                <w:kern w:val="0"/>
                <w:sz w:val="24"/>
                <w:szCs w:val="20"/>
              </w:rPr>
            </w:pPr>
            <w:r>
              <w:rPr>
                <w:rFonts w:hint="eastAsia" w:ascii="宋体" w:hAnsi="宋体"/>
                <w:kern w:val="0"/>
                <w:sz w:val="24"/>
                <w:szCs w:val="20"/>
              </w:rPr>
              <w:t>2.支持数据确认后通过手动执行计算评分规则生成指标得分结果；</w:t>
            </w:r>
          </w:p>
          <w:p>
            <w:pPr>
              <w:spacing w:line="360" w:lineRule="auto"/>
              <w:rPr>
                <w:rFonts w:ascii="宋体" w:hAnsi="宋体"/>
                <w:kern w:val="0"/>
                <w:sz w:val="24"/>
                <w:szCs w:val="20"/>
              </w:rPr>
            </w:pPr>
            <w:r>
              <w:rPr>
                <w:rFonts w:hint="eastAsia" w:ascii="宋体" w:hAnsi="宋体"/>
                <w:kern w:val="0"/>
                <w:sz w:val="24"/>
                <w:szCs w:val="20"/>
              </w:rPr>
              <w:t>3.支持查询执行日志。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4"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18"/>
                <w:szCs w:val="18"/>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得分分析报告</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执行评分后，即可查询到得分分析报告</w:t>
            </w:r>
          </w:p>
          <w:p>
            <w:pPr>
              <w:numPr>
                <w:ilvl w:val="0"/>
                <w:numId w:val="32"/>
              </w:numPr>
              <w:spacing w:line="360" w:lineRule="auto"/>
              <w:rPr>
                <w:rFonts w:ascii="宋体" w:hAnsi="宋体"/>
                <w:kern w:val="0"/>
                <w:sz w:val="24"/>
                <w:szCs w:val="20"/>
              </w:rPr>
            </w:pPr>
            <w:r>
              <w:rPr>
                <w:rFonts w:hint="eastAsia" w:ascii="宋体" w:hAnsi="宋体"/>
                <w:kern w:val="0"/>
                <w:sz w:val="24"/>
                <w:szCs w:val="20"/>
              </w:rPr>
              <w:t>支持依照目录格式产生得分分析报告；</w:t>
            </w:r>
          </w:p>
          <w:p>
            <w:pPr>
              <w:numPr>
                <w:ilvl w:val="0"/>
                <w:numId w:val="32"/>
              </w:numPr>
              <w:spacing w:line="360" w:lineRule="auto"/>
              <w:rPr>
                <w:rFonts w:ascii="宋体" w:hAnsi="宋体"/>
                <w:kern w:val="0"/>
                <w:sz w:val="24"/>
                <w:szCs w:val="20"/>
              </w:rPr>
            </w:pPr>
            <w:r>
              <w:rPr>
                <w:rFonts w:hint="eastAsia" w:ascii="宋体" w:hAnsi="宋体"/>
                <w:kern w:val="0"/>
                <w:sz w:val="24"/>
                <w:szCs w:val="20"/>
              </w:rPr>
              <w:t>支持点击目录可快速定位；</w:t>
            </w:r>
          </w:p>
          <w:p>
            <w:pPr>
              <w:numPr>
                <w:ilvl w:val="0"/>
                <w:numId w:val="32"/>
              </w:numPr>
              <w:spacing w:line="360" w:lineRule="auto"/>
              <w:rPr>
                <w:rFonts w:ascii="宋体" w:hAnsi="宋体"/>
                <w:kern w:val="0"/>
                <w:sz w:val="24"/>
                <w:szCs w:val="20"/>
              </w:rPr>
            </w:pPr>
            <w:r>
              <w:rPr>
                <w:rFonts w:hint="eastAsia" w:ascii="宋体" w:hAnsi="宋体"/>
                <w:kern w:val="0"/>
                <w:sz w:val="24"/>
                <w:szCs w:val="20"/>
              </w:rPr>
              <w:t>报告应包含总体得分、各等次总计以及分值和，还应包含准入（规模配比）指标、纵向、横向指标、单病种指标评分后的情况以及分值。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40"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18"/>
                <w:szCs w:val="18"/>
              </w:rPr>
            </w:pPr>
          </w:p>
        </w:tc>
        <w:tc>
          <w:tcPr>
            <w:tcW w:w="1617" w:type="dxa"/>
            <w:tcBorders>
              <w:top w:val="single" w:color="auto" w:sz="4" w:space="0"/>
              <w:bottom w:val="single" w:color="auto" w:sz="4" w:space="0"/>
            </w:tcBorders>
            <w:vAlign w:val="center"/>
          </w:tcPr>
          <w:p>
            <w:pPr>
              <w:spacing w:line="360" w:lineRule="auto"/>
              <w:jc w:val="center"/>
              <w:rPr>
                <w:rFonts w:ascii="宋体" w:hAnsi="宋体"/>
                <w:kern w:val="0"/>
                <w:sz w:val="24"/>
                <w:szCs w:val="20"/>
              </w:rPr>
            </w:pPr>
            <w:r>
              <w:rPr>
                <w:rFonts w:hint="eastAsia"/>
              </w:rPr>
              <w:t>▲</w:t>
            </w:r>
            <w:r>
              <w:rPr>
                <w:rFonts w:hint="eastAsia" w:ascii="宋体" w:hAnsi="宋体"/>
                <w:kern w:val="0"/>
                <w:sz w:val="24"/>
                <w:szCs w:val="20"/>
              </w:rPr>
              <w:t>指标得分统计</w:t>
            </w:r>
          </w:p>
        </w:tc>
        <w:tc>
          <w:tcPr>
            <w:tcW w:w="5663" w:type="dxa"/>
            <w:tcBorders>
              <w:top w:val="single" w:color="auto" w:sz="4" w:space="0"/>
              <w:bottom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可以根据规模配比、纵向比较指标、横向比较指标、单病种页签查看对应指标的得分详情。</w:t>
            </w:r>
          </w:p>
          <w:p>
            <w:pPr>
              <w:spacing w:line="360" w:lineRule="auto"/>
              <w:rPr>
                <w:rFonts w:ascii="宋体" w:hAnsi="宋体"/>
                <w:kern w:val="0"/>
                <w:sz w:val="24"/>
                <w:szCs w:val="20"/>
              </w:rPr>
            </w:pPr>
          </w:p>
          <w:p>
            <w:pPr>
              <w:spacing w:line="360" w:lineRule="auto"/>
              <w:rPr>
                <w:rFonts w:ascii="宋体" w:hAnsi="宋体"/>
                <w:kern w:val="0"/>
                <w:sz w:val="24"/>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7" w:hRule="atLeast"/>
          <w:jc w:val="center"/>
        </w:trPr>
        <w:tc>
          <w:tcPr>
            <w:tcW w:w="883" w:type="dxa"/>
            <w:vMerge w:val="continue"/>
            <w:tcBorders>
              <w:right w:val="single" w:color="auto" w:sz="4" w:space="0"/>
            </w:tcBorders>
            <w:vAlign w:val="center"/>
          </w:tcPr>
          <w:p>
            <w:pPr>
              <w:spacing w:line="360" w:lineRule="auto"/>
              <w:jc w:val="center"/>
              <w:rPr>
                <w:rFonts w:ascii="Times New Roman" w:hAnsi="Times New Roman"/>
                <w:kern w:val="0"/>
                <w:sz w:val="24"/>
              </w:rPr>
            </w:pPr>
          </w:p>
        </w:tc>
        <w:tc>
          <w:tcPr>
            <w:tcW w:w="1493" w:type="dxa"/>
            <w:vMerge w:val="continue"/>
            <w:tcBorders>
              <w:left w:val="single" w:color="auto" w:sz="4" w:space="0"/>
            </w:tcBorders>
            <w:vAlign w:val="center"/>
          </w:tcPr>
          <w:p>
            <w:pPr>
              <w:spacing w:line="360" w:lineRule="auto"/>
              <w:jc w:val="center"/>
              <w:rPr>
                <w:rFonts w:ascii="Times New Roman" w:hAnsi="Times New Roman"/>
                <w:kern w:val="0"/>
                <w:sz w:val="18"/>
                <w:szCs w:val="18"/>
              </w:rPr>
            </w:pPr>
          </w:p>
        </w:tc>
        <w:tc>
          <w:tcPr>
            <w:tcW w:w="1617" w:type="dxa"/>
            <w:tcBorders>
              <w:top w:val="single" w:color="auto" w:sz="4" w:space="0"/>
            </w:tcBorders>
            <w:vAlign w:val="center"/>
          </w:tcPr>
          <w:p>
            <w:pPr>
              <w:spacing w:line="360" w:lineRule="auto"/>
              <w:jc w:val="center"/>
            </w:pPr>
            <w:bookmarkStart w:id="0" w:name="_GoBack"/>
            <w:r>
              <w:rPr>
                <w:rFonts w:hint="eastAsia" w:ascii="宋体" w:hAnsi="宋体"/>
                <w:kern w:val="0"/>
                <w:sz w:val="24"/>
                <w:szCs w:val="20"/>
              </w:rPr>
              <w:t>▲现场评审条款附加功能</w:t>
            </w:r>
            <w:bookmarkEnd w:id="0"/>
          </w:p>
        </w:tc>
        <w:tc>
          <w:tcPr>
            <w:tcW w:w="5663" w:type="dxa"/>
            <w:tcBorders>
              <w:top w:val="single" w:color="auto" w:sz="4" w:space="0"/>
            </w:tcBorders>
            <w:vAlign w:val="center"/>
          </w:tcPr>
          <w:p>
            <w:pPr>
              <w:spacing w:line="360" w:lineRule="auto"/>
              <w:rPr>
                <w:rFonts w:ascii="宋体" w:hAnsi="宋体"/>
                <w:kern w:val="0"/>
                <w:sz w:val="24"/>
                <w:szCs w:val="20"/>
              </w:rPr>
            </w:pPr>
            <w:r>
              <w:rPr>
                <w:rFonts w:hint="eastAsia" w:ascii="宋体" w:hAnsi="宋体"/>
                <w:kern w:val="0"/>
                <w:sz w:val="24"/>
                <w:szCs w:val="20"/>
              </w:rPr>
              <w:t>对评审标准（湖南版）第三部分每一条款能提供对应法律法规、规章制度、诊疗指南、操作流程、行业标准、应急预案、评分表格等功能。</w:t>
            </w:r>
          </w:p>
        </w:tc>
      </w:tr>
    </w:tbl>
    <w:p>
      <w:pPr>
        <w:rPr>
          <w:b/>
          <w:bCs/>
          <w:sz w:val="36"/>
          <w:szCs w:val="36"/>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657E7"/>
    <w:multiLevelType w:val="singleLevel"/>
    <w:tmpl w:val="810657E7"/>
    <w:lvl w:ilvl="0" w:tentative="0">
      <w:start w:val="1"/>
      <w:numFmt w:val="decimal"/>
      <w:lvlText w:val="%1."/>
      <w:lvlJc w:val="left"/>
      <w:pPr>
        <w:tabs>
          <w:tab w:val="left" w:pos="312"/>
        </w:tabs>
      </w:pPr>
    </w:lvl>
  </w:abstractNum>
  <w:abstractNum w:abstractNumId="1">
    <w:nsid w:val="83742101"/>
    <w:multiLevelType w:val="singleLevel"/>
    <w:tmpl w:val="83742101"/>
    <w:lvl w:ilvl="0" w:tentative="0">
      <w:start w:val="1"/>
      <w:numFmt w:val="decimal"/>
      <w:lvlText w:val="%1."/>
      <w:lvlJc w:val="left"/>
      <w:pPr>
        <w:tabs>
          <w:tab w:val="left" w:pos="312"/>
        </w:tabs>
      </w:pPr>
    </w:lvl>
  </w:abstractNum>
  <w:abstractNum w:abstractNumId="2">
    <w:nsid w:val="86E4826D"/>
    <w:multiLevelType w:val="singleLevel"/>
    <w:tmpl w:val="86E4826D"/>
    <w:lvl w:ilvl="0" w:tentative="0">
      <w:start w:val="1"/>
      <w:numFmt w:val="decimal"/>
      <w:lvlText w:val="%1."/>
      <w:lvlJc w:val="left"/>
      <w:pPr>
        <w:tabs>
          <w:tab w:val="left" w:pos="312"/>
        </w:tabs>
      </w:pPr>
    </w:lvl>
  </w:abstractNum>
  <w:abstractNum w:abstractNumId="3">
    <w:nsid w:val="9722F5F0"/>
    <w:multiLevelType w:val="singleLevel"/>
    <w:tmpl w:val="9722F5F0"/>
    <w:lvl w:ilvl="0" w:tentative="0">
      <w:start w:val="1"/>
      <w:numFmt w:val="decimal"/>
      <w:lvlText w:val="%1."/>
      <w:lvlJc w:val="left"/>
      <w:pPr>
        <w:tabs>
          <w:tab w:val="left" w:pos="312"/>
        </w:tabs>
      </w:pPr>
    </w:lvl>
  </w:abstractNum>
  <w:abstractNum w:abstractNumId="4">
    <w:nsid w:val="990C94AD"/>
    <w:multiLevelType w:val="singleLevel"/>
    <w:tmpl w:val="990C94AD"/>
    <w:lvl w:ilvl="0" w:tentative="0">
      <w:start w:val="1"/>
      <w:numFmt w:val="decimal"/>
      <w:lvlText w:val="%1."/>
      <w:lvlJc w:val="left"/>
      <w:pPr>
        <w:tabs>
          <w:tab w:val="left" w:pos="312"/>
        </w:tabs>
      </w:pPr>
    </w:lvl>
  </w:abstractNum>
  <w:abstractNum w:abstractNumId="5">
    <w:nsid w:val="9C7A9CAE"/>
    <w:multiLevelType w:val="singleLevel"/>
    <w:tmpl w:val="9C7A9CAE"/>
    <w:lvl w:ilvl="0" w:tentative="0">
      <w:start w:val="1"/>
      <w:numFmt w:val="decimal"/>
      <w:lvlText w:val="%1."/>
      <w:lvlJc w:val="left"/>
      <w:pPr>
        <w:tabs>
          <w:tab w:val="left" w:pos="312"/>
        </w:tabs>
      </w:pPr>
    </w:lvl>
  </w:abstractNum>
  <w:abstractNum w:abstractNumId="6">
    <w:nsid w:val="B0244263"/>
    <w:multiLevelType w:val="singleLevel"/>
    <w:tmpl w:val="B0244263"/>
    <w:lvl w:ilvl="0" w:tentative="0">
      <w:start w:val="1"/>
      <w:numFmt w:val="decimal"/>
      <w:lvlText w:val="%1."/>
      <w:lvlJc w:val="left"/>
      <w:pPr>
        <w:tabs>
          <w:tab w:val="left" w:pos="312"/>
        </w:tabs>
      </w:pPr>
    </w:lvl>
  </w:abstractNum>
  <w:abstractNum w:abstractNumId="7">
    <w:nsid w:val="BFEB05E7"/>
    <w:multiLevelType w:val="singleLevel"/>
    <w:tmpl w:val="BFEB05E7"/>
    <w:lvl w:ilvl="0" w:tentative="0">
      <w:start w:val="1"/>
      <w:numFmt w:val="decimal"/>
      <w:lvlText w:val="%1."/>
      <w:lvlJc w:val="left"/>
      <w:pPr>
        <w:tabs>
          <w:tab w:val="left" w:pos="312"/>
        </w:tabs>
      </w:pPr>
    </w:lvl>
  </w:abstractNum>
  <w:abstractNum w:abstractNumId="8">
    <w:nsid w:val="C4483FB7"/>
    <w:multiLevelType w:val="singleLevel"/>
    <w:tmpl w:val="C4483FB7"/>
    <w:lvl w:ilvl="0" w:tentative="0">
      <w:start w:val="1"/>
      <w:numFmt w:val="decimal"/>
      <w:lvlText w:val="%1."/>
      <w:lvlJc w:val="left"/>
      <w:pPr>
        <w:tabs>
          <w:tab w:val="left" w:pos="312"/>
        </w:tabs>
      </w:pPr>
    </w:lvl>
  </w:abstractNum>
  <w:abstractNum w:abstractNumId="9">
    <w:nsid w:val="C98976FD"/>
    <w:multiLevelType w:val="singleLevel"/>
    <w:tmpl w:val="C98976FD"/>
    <w:lvl w:ilvl="0" w:tentative="0">
      <w:start w:val="1"/>
      <w:numFmt w:val="decimal"/>
      <w:lvlText w:val="%1."/>
      <w:lvlJc w:val="left"/>
      <w:pPr>
        <w:tabs>
          <w:tab w:val="left" w:pos="312"/>
        </w:tabs>
      </w:pPr>
    </w:lvl>
  </w:abstractNum>
  <w:abstractNum w:abstractNumId="10">
    <w:nsid w:val="DD4C269B"/>
    <w:multiLevelType w:val="singleLevel"/>
    <w:tmpl w:val="DD4C269B"/>
    <w:lvl w:ilvl="0" w:tentative="0">
      <w:start w:val="1"/>
      <w:numFmt w:val="decimal"/>
      <w:lvlText w:val="%1."/>
      <w:lvlJc w:val="left"/>
      <w:pPr>
        <w:tabs>
          <w:tab w:val="left" w:pos="312"/>
        </w:tabs>
      </w:pPr>
    </w:lvl>
  </w:abstractNum>
  <w:abstractNum w:abstractNumId="11">
    <w:nsid w:val="E3B0B2A5"/>
    <w:multiLevelType w:val="singleLevel"/>
    <w:tmpl w:val="E3B0B2A5"/>
    <w:lvl w:ilvl="0" w:tentative="0">
      <w:start w:val="1"/>
      <w:numFmt w:val="decimal"/>
      <w:lvlText w:val="%1."/>
      <w:lvlJc w:val="left"/>
      <w:pPr>
        <w:tabs>
          <w:tab w:val="left" w:pos="312"/>
        </w:tabs>
      </w:pPr>
    </w:lvl>
  </w:abstractNum>
  <w:abstractNum w:abstractNumId="12">
    <w:nsid w:val="E80EF089"/>
    <w:multiLevelType w:val="singleLevel"/>
    <w:tmpl w:val="E80EF089"/>
    <w:lvl w:ilvl="0" w:tentative="0">
      <w:start w:val="1"/>
      <w:numFmt w:val="decimal"/>
      <w:lvlText w:val="%1."/>
      <w:lvlJc w:val="left"/>
      <w:pPr>
        <w:tabs>
          <w:tab w:val="left" w:pos="312"/>
        </w:tabs>
      </w:pPr>
    </w:lvl>
  </w:abstractNum>
  <w:abstractNum w:abstractNumId="13">
    <w:nsid w:val="EEF00B58"/>
    <w:multiLevelType w:val="singleLevel"/>
    <w:tmpl w:val="EEF00B58"/>
    <w:lvl w:ilvl="0" w:tentative="0">
      <w:start w:val="1"/>
      <w:numFmt w:val="decimal"/>
      <w:lvlText w:val="%1."/>
      <w:lvlJc w:val="left"/>
      <w:pPr>
        <w:tabs>
          <w:tab w:val="left" w:pos="312"/>
        </w:tabs>
      </w:pPr>
    </w:lvl>
  </w:abstractNum>
  <w:abstractNum w:abstractNumId="14">
    <w:nsid w:val="F8A45279"/>
    <w:multiLevelType w:val="singleLevel"/>
    <w:tmpl w:val="F8A45279"/>
    <w:lvl w:ilvl="0" w:tentative="0">
      <w:start w:val="1"/>
      <w:numFmt w:val="decimal"/>
      <w:lvlText w:val="%1."/>
      <w:lvlJc w:val="left"/>
      <w:pPr>
        <w:tabs>
          <w:tab w:val="left" w:pos="312"/>
        </w:tabs>
      </w:pPr>
    </w:lvl>
  </w:abstractNum>
  <w:abstractNum w:abstractNumId="15">
    <w:nsid w:val="00DB7A23"/>
    <w:multiLevelType w:val="multilevel"/>
    <w:tmpl w:val="00DB7A2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0FFE3E6"/>
    <w:multiLevelType w:val="singleLevel"/>
    <w:tmpl w:val="00FFE3E6"/>
    <w:lvl w:ilvl="0" w:tentative="0">
      <w:start w:val="1"/>
      <w:numFmt w:val="decimal"/>
      <w:lvlText w:val="%1."/>
      <w:lvlJc w:val="left"/>
      <w:pPr>
        <w:tabs>
          <w:tab w:val="left" w:pos="312"/>
        </w:tabs>
      </w:pPr>
    </w:lvl>
  </w:abstractNum>
  <w:abstractNum w:abstractNumId="17">
    <w:nsid w:val="072297EF"/>
    <w:multiLevelType w:val="singleLevel"/>
    <w:tmpl w:val="072297EF"/>
    <w:lvl w:ilvl="0" w:tentative="0">
      <w:start w:val="1"/>
      <w:numFmt w:val="decimal"/>
      <w:lvlText w:val="%1."/>
      <w:lvlJc w:val="left"/>
      <w:pPr>
        <w:tabs>
          <w:tab w:val="left" w:pos="312"/>
        </w:tabs>
      </w:pPr>
    </w:lvl>
  </w:abstractNum>
  <w:abstractNum w:abstractNumId="18">
    <w:nsid w:val="16A50C7A"/>
    <w:multiLevelType w:val="singleLevel"/>
    <w:tmpl w:val="16A50C7A"/>
    <w:lvl w:ilvl="0" w:tentative="0">
      <w:start w:val="1"/>
      <w:numFmt w:val="decimal"/>
      <w:lvlText w:val="%1."/>
      <w:lvlJc w:val="left"/>
      <w:pPr>
        <w:tabs>
          <w:tab w:val="left" w:pos="312"/>
        </w:tabs>
      </w:pPr>
    </w:lvl>
  </w:abstractNum>
  <w:abstractNum w:abstractNumId="19">
    <w:nsid w:val="1AF718DF"/>
    <w:multiLevelType w:val="singleLevel"/>
    <w:tmpl w:val="1AF718DF"/>
    <w:lvl w:ilvl="0" w:tentative="0">
      <w:start w:val="1"/>
      <w:numFmt w:val="decimal"/>
      <w:lvlText w:val="%1."/>
      <w:lvlJc w:val="left"/>
      <w:pPr>
        <w:tabs>
          <w:tab w:val="left" w:pos="312"/>
        </w:tabs>
      </w:pPr>
    </w:lvl>
  </w:abstractNum>
  <w:abstractNum w:abstractNumId="20">
    <w:nsid w:val="2524D6BD"/>
    <w:multiLevelType w:val="singleLevel"/>
    <w:tmpl w:val="2524D6BD"/>
    <w:lvl w:ilvl="0" w:tentative="0">
      <w:start w:val="1"/>
      <w:numFmt w:val="decimal"/>
      <w:lvlText w:val="%1."/>
      <w:lvlJc w:val="left"/>
      <w:pPr>
        <w:tabs>
          <w:tab w:val="left" w:pos="312"/>
        </w:tabs>
      </w:pPr>
    </w:lvl>
  </w:abstractNum>
  <w:abstractNum w:abstractNumId="21">
    <w:nsid w:val="28BF85A2"/>
    <w:multiLevelType w:val="singleLevel"/>
    <w:tmpl w:val="28BF85A2"/>
    <w:lvl w:ilvl="0" w:tentative="0">
      <w:start w:val="1"/>
      <w:numFmt w:val="decimal"/>
      <w:lvlText w:val="%1."/>
      <w:lvlJc w:val="left"/>
      <w:pPr>
        <w:tabs>
          <w:tab w:val="left" w:pos="312"/>
        </w:tabs>
      </w:pPr>
    </w:lvl>
  </w:abstractNum>
  <w:abstractNum w:abstractNumId="22">
    <w:nsid w:val="28FD83A5"/>
    <w:multiLevelType w:val="singleLevel"/>
    <w:tmpl w:val="28FD83A5"/>
    <w:lvl w:ilvl="0" w:tentative="0">
      <w:start w:val="1"/>
      <w:numFmt w:val="decimal"/>
      <w:lvlText w:val="%1."/>
      <w:lvlJc w:val="left"/>
      <w:pPr>
        <w:tabs>
          <w:tab w:val="left" w:pos="312"/>
        </w:tabs>
      </w:pPr>
    </w:lvl>
  </w:abstractNum>
  <w:abstractNum w:abstractNumId="23">
    <w:nsid w:val="3FA3663B"/>
    <w:multiLevelType w:val="singleLevel"/>
    <w:tmpl w:val="3FA3663B"/>
    <w:lvl w:ilvl="0" w:tentative="0">
      <w:start w:val="1"/>
      <w:numFmt w:val="decimal"/>
      <w:lvlText w:val="%1."/>
      <w:lvlJc w:val="left"/>
      <w:pPr>
        <w:tabs>
          <w:tab w:val="left" w:pos="312"/>
        </w:tabs>
      </w:pPr>
    </w:lvl>
  </w:abstractNum>
  <w:abstractNum w:abstractNumId="24">
    <w:nsid w:val="4033F82B"/>
    <w:multiLevelType w:val="singleLevel"/>
    <w:tmpl w:val="4033F82B"/>
    <w:lvl w:ilvl="0" w:tentative="0">
      <w:start w:val="1"/>
      <w:numFmt w:val="decimal"/>
      <w:lvlText w:val="%1."/>
      <w:lvlJc w:val="left"/>
      <w:pPr>
        <w:tabs>
          <w:tab w:val="left" w:pos="312"/>
        </w:tabs>
      </w:pPr>
    </w:lvl>
  </w:abstractNum>
  <w:abstractNum w:abstractNumId="25">
    <w:nsid w:val="48FAB50C"/>
    <w:multiLevelType w:val="singleLevel"/>
    <w:tmpl w:val="48FAB50C"/>
    <w:lvl w:ilvl="0" w:tentative="0">
      <w:start w:val="1"/>
      <w:numFmt w:val="decimal"/>
      <w:lvlText w:val="%1."/>
      <w:lvlJc w:val="left"/>
      <w:pPr>
        <w:tabs>
          <w:tab w:val="left" w:pos="312"/>
        </w:tabs>
      </w:pPr>
    </w:lvl>
  </w:abstractNum>
  <w:abstractNum w:abstractNumId="26">
    <w:nsid w:val="53EE1264"/>
    <w:multiLevelType w:val="multilevel"/>
    <w:tmpl w:val="53EE126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5F44812F"/>
    <w:multiLevelType w:val="singleLevel"/>
    <w:tmpl w:val="5F44812F"/>
    <w:lvl w:ilvl="0" w:tentative="0">
      <w:start w:val="1"/>
      <w:numFmt w:val="decimal"/>
      <w:lvlText w:val="%1."/>
      <w:lvlJc w:val="left"/>
      <w:pPr>
        <w:tabs>
          <w:tab w:val="left" w:pos="312"/>
        </w:tabs>
      </w:pPr>
    </w:lvl>
  </w:abstractNum>
  <w:abstractNum w:abstractNumId="28">
    <w:nsid w:val="7031B40B"/>
    <w:multiLevelType w:val="singleLevel"/>
    <w:tmpl w:val="7031B40B"/>
    <w:lvl w:ilvl="0" w:tentative="0">
      <w:start w:val="1"/>
      <w:numFmt w:val="decimal"/>
      <w:lvlText w:val="%1."/>
      <w:lvlJc w:val="left"/>
      <w:pPr>
        <w:tabs>
          <w:tab w:val="left" w:pos="312"/>
        </w:tabs>
      </w:pPr>
    </w:lvl>
  </w:abstractNum>
  <w:abstractNum w:abstractNumId="29">
    <w:nsid w:val="79F1D000"/>
    <w:multiLevelType w:val="singleLevel"/>
    <w:tmpl w:val="79F1D000"/>
    <w:lvl w:ilvl="0" w:tentative="0">
      <w:start w:val="1"/>
      <w:numFmt w:val="decimal"/>
      <w:lvlText w:val="%1."/>
      <w:lvlJc w:val="left"/>
      <w:pPr>
        <w:tabs>
          <w:tab w:val="left" w:pos="312"/>
        </w:tabs>
      </w:pPr>
    </w:lvl>
  </w:abstractNum>
  <w:abstractNum w:abstractNumId="30">
    <w:nsid w:val="7CF454B9"/>
    <w:multiLevelType w:val="singleLevel"/>
    <w:tmpl w:val="7CF454B9"/>
    <w:lvl w:ilvl="0" w:tentative="0">
      <w:start w:val="1"/>
      <w:numFmt w:val="decimal"/>
      <w:lvlText w:val="%1."/>
      <w:lvlJc w:val="left"/>
      <w:pPr>
        <w:tabs>
          <w:tab w:val="left" w:pos="312"/>
        </w:tabs>
      </w:pPr>
    </w:lvl>
  </w:abstractNum>
  <w:abstractNum w:abstractNumId="31">
    <w:nsid w:val="7F4969BE"/>
    <w:multiLevelType w:val="singleLevel"/>
    <w:tmpl w:val="7F4969BE"/>
    <w:lvl w:ilvl="0" w:tentative="0">
      <w:start w:val="1"/>
      <w:numFmt w:val="decimal"/>
      <w:lvlText w:val="%1."/>
      <w:lvlJc w:val="left"/>
      <w:pPr>
        <w:tabs>
          <w:tab w:val="left" w:pos="312"/>
        </w:tabs>
      </w:pPr>
    </w:lvl>
  </w:abstractNum>
  <w:num w:numId="1">
    <w:abstractNumId w:val="15"/>
  </w:num>
  <w:num w:numId="2">
    <w:abstractNumId w:val="26"/>
  </w:num>
  <w:num w:numId="3">
    <w:abstractNumId w:val="22"/>
  </w:num>
  <w:num w:numId="4">
    <w:abstractNumId w:val="19"/>
  </w:num>
  <w:num w:numId="5">
    <w:abstractNumId w:val="23"/>
  </w:num>
  <w:num w:numId="6">
    <w:abstractNumId w:val="2"/>
  </w:num>
  <w:num w:numId="7">
    <w:abstractNumId w:val="7"/>
  </w:num>
  <w:num w:numId="8">
    <w:abstractNumId w:val="14"/>
  </w:num>
  <w:num w:numId="9">
    <w:abstractNumId w:val="25"/>
  </w:num>
  <w:num w:numId="10">
    <w:abstractNumId w:val="30"/>
  </w:num>
  <w:num w:numId="11">
    <w:abstractNumId w:val="6"/>
  </w:num>
  <w:num w:numId="12">
    <w:abstractNumId w:val="27"/>
  </w:num>
  <w:num w:numId="13">
    <w:abstractNumId w:val="4"/>
  </w:num>
  <w:num w:numId="14">
    <w:abstractNumId w:val="13"/>
  </w:num>
  <w:num w:numId="15">
    <w:abstractNumId w:val="18"/>
  </w:num>
  <w:num w:numId="16">
    <w:abstractNumId w:val="1"/>
  </w:num>
  <w:num w:numId="17">
    <w:abstractNumId w:val="8"/>
  </w:num>
  <w:num w:numId="18">
    <w:abstractNumId w:val="28"/>
  </w:num>
  <w:num w:numId="19">
    <w:abstractNumId w:val="29"/>
  </w:num>
  <w:num w:numId="20">
    <w:abstractNumId w:val="3"/>
  </w:num>
  <w:num w:numId="21">
    <w:abstractNumId w:val="31"/>
  </w:num>
  <w:num w:numId="22">
    <w:abstractNumId w:val="0"/>
  </w:num>
  <w:num w:numId="23">
    <w:abstractNumId w:val="21"/>
  </w:num>
  <w:num w:numId="24">
    <w:abstractNumId w:val="9"/>
  </w:num>
  <w:num w:numId="25">
    <w:abstractNumId w:val="11"/>
  </w:num>
  <w:num w:numId="26">
    <w:abstractNumId w:val="16"/>
  </w:num>
  <w:num w:numId="27">
    <w:abstractNumId w:val="20"/>
  </w:num>
  <w:num w:numId="28">
    <w:abstractNumId w:val="17"/>
  </w:num>
  <w:num w:numId="29">
    <w:abstractNumId w:val="12"/>
  </w:num>
  <w:num w:numId="30">
    <w:abstractNumId w:val="24"/>
  </w:num>
  <w:num w:numId="31">
    <w:abstractNumId w:val="10"/>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3Zjk5M2E4Y2VmYmFkODY2ZjE0ZGIzM2MxODZjZjUifQ=="/>
  </w:docVars>
  <w:rsids>
    <w:rsidRoot w:val="00A67B3A"/>
    <w:rsid w:val="00166A5F"/>
    <w:rsid w:val="001A37C9"/>
    <w:rsid w:val="00212EAE"/>
    <w:rsid w:val="00220329"/>
    <w:rsid w:val="00252782"/>
    <w:rsid w:val="002C7178"/>
    <w:rsid w:val="004300B7"/>
    <w:rsid w:val="004635D6"/>
    <w:rsid w:val="004D4C72"/>
    <w:rsid w:val="005421F6"/>
    <w:rsid w:val="00575835"/>
    <w:rsid w:val="005779E1"/>
    <w:rsid w:val="00635B98"/>
    <w:rsid w:val="00661170"/>
    <w:rsid w:val="00737589"/>
    <w:rsid w:val="00746E26"/>
    <w:rsid w:val="007B4286"/>
    <w:rsid w:val="0085418E"/>
    <w:rsid w:val="00907F98"/>
    <w:rsid w:val="009473CD"/>
    <w:rsid w:val="00A621BF"/>
    <w:rsid w:val="00A67B3A"/>
    <w:rsid w:val="00CA4132"/>
    <w:rsid w:val="00CB6D76"/>
    <w:rsid w:val="00CB6E19"/>
    <w:rsid w:val="00CD03E2"/>
    <w:rsid w:val="00D000D6"/>
    <w:rsid w:val="00D110D4"/>
    <w:rsid w:val="00D20B22"/>
    <w:rsid w:val="00D95171"/>
    <w:rsid w:val="00DD2FCE"/>
    <w:rsid w:val="00ED0D46"/>
    <w:rsid w:val="00F52131"/>
    <w:rsid w:val="00F90C41"/>
    <w:rsid w:val="00FC0610"/>
    <w:rsid w:val="00FC1523"/>
    <w:rsid w:val="00FC3C88"/>
    <w:rsid w:val="00FF0055"/>
    <w:rsid w:val="00FF308E"/>
    <w:rsid w:val="17906DD5"/>
    <w:rsid w:val="27A01B2F"/>
    <w:rsid w:val="53BC7C22"/>
    <w:rsid w:val="5A640C92"/>
    <w:rsid w:val="5FDF3E1E"/>
    <w:rsid w:val="6B21151E"/>
    <w:rsid w:val="6CAA6C5D"/>
    <w:rsid w:val="79291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5499</Words>
  <Characters>5575</Characters>
  <Lines>41</Lines>
  <Paragraphs>11</Paragraphs>
  <TotalTime>13</TotalTime>
  <ScaleCrop>false</ScaleCrop>
  <LinksUpToDate>false</LinksUpToDate>
  <CharactersWithSpaces>5575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2023-05-19T10:53:00Z</dcterms:created>
  <dc:creator>杨 Megan</dc:creator>
  <cp:lastModifiedBy>Aaron</cp:lastModifiedBy>
  <dcterms:modified xsi:type="dcterms:W3CDTF">2023-05-24T07:34:02Z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2CA5931F1BB640E8AEC8C3E79A2EB309</vt:lpwstr>
  </property>
</Properties>
</file>