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hint="default" w:cs="Tahoma" w:asciiTheme="minorEastAsia" w:hAnsiTheme="minorEastAsia" w:eastAsiaTheme="minorEastAsia"/>
          <w:b/>
          <w:color w:val="000000"/>
          <w:sz w:val="48"/>
          <w:szCs w:val="48"/>
          <w:lang w:val="en-US" w:eastAsia="zh-CN"/>
        </w:rPr>
      </w:pPr>
      <w:r>
        <w:rPr>
          <w:rFonts w:hint="eastAsia" w:cs="Tahoma" w:asciiTheme="minorEastAsia" w:hAnsiTheme="minorEastAsia" w:eastAsiaTheme="minorEastAsia"/>
          <w:b/>
          <w:color w:val="000000"/>
          <w:sz w:val="48"/>
          <w:szCs w:val="48"/>
          <w:lang w:val="en-US" w:eastAsia="zh-CN"/>
        </w:rPr>
        <w:t>轮椅招标参数</w:t>
      </w:r>
    </w:p>
    <w:p>
      <w:pPr>
        <w:spacing w:after="0"/>
        <w:rPr>
          <w:rFonts w:cs="Tahoma" w:asciiTheme="minorEastAsia" w:hAnsiTheme="minorEastAsia" w:eastAsiaTheme="minorEastAsia"/>
          <w:b/>
          <w:color w:val="000000"/>
          <w:sz w:val="28"/>
          <w:szCs w:val="28"/>
        </w:rPr>
      </w:pPr>
      <w:r>
        <w:rPr>
          <w:rFonts w:hint="eastAsia" w:cs="Tahoma" w:asciiTheme="minorEastAsia" w:hAnsiTheme="minorEastAsia" w:eastAsiaTheme="minorEastAsia"/>
          <w:b/>
          <w:color w:val="000000"/>
          <w:sz w:val="28"/>
          <w:szCs w:val="28"/>
        </w:rPr>
        <w:t xml:space="preserve">           </w:t>
      </w:r>
    </w:p>
    <w:p>
      <w:pPr>
        <w:spacing w:after="0" w:line="540" w:lineRule="exact"/>
        <w:rPr>
          <w:rFonts w:hint="default" w:cs="Tahoma" w:asciiTheme="minorEastAsia" w:hAnsiTheme="minorEastAsia" w:eastAsiaTheme="minorEastAsia"/>
          <w:b/>
          <w:color w:val="000000"/>
          <w:sz w:val="30"/>
          <w:szCs w:val="30"/>
          <w:lang w:val="en-US" w:eastAsia="zh-CN"/>
        </w:rPr>
      </w:pPr>
      <w:r>
        <w:rPr>
          <w:rFonts w:hint="eastAsia" w:cs="Tahoma" w:asciiTheme="minorEastAsia" w:hAnsiTheme="minorEastAsia" w:eastAsiaTheme="minorEastAsia"/>
          <w:b/>
          <w:color w:val="000000"/>
          <w:sz w:val="28"/>
          <w:szCs w:val="28"/>
          <w:lang w:val="en-US" w:eastAsia="zh-CN"/>
        </w:rPr>
        <w:t>一、技术参数</w:t>
      </w:r>
    </w:p>
    <w:tbl>
      <w:tblPr>
        <w:tblStyle w:val="6"/>
        <w:tblpPr w:leftFromText="180" w:rightFromText="180" w:vertAnchor="text" w:horzAnchor="page" w:tblpX="1917" w:tblpY="28"/>
        <w:tblOverlap w:val="never"/>
        <w:tblW w:w="81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1824"/>
        <w:gridCol w:w="1242"/>
        <w:gridCol w:w="4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748" w:type="dxa"/>
            <w:vAlign w:val="center"/>
          </w:tcPr>
          <w:p>
            <w:pPr>
              <w:spacing w:after="0" w:line="440" w:lineRule="exact"/>
              <w:jc w:val="center"/>
              <w:rPr>
                <w:rFonts w:hint="eastAsia" w:cs="Tahoma" w:asciiTheme="minorEastAsia" w:hAnsiTheme="minorEastAsia" w:eastAsiaTheme="minorEastAsia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b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824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b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242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b/>
                <w:color w:val="000000"/>
                <w:sz w:val="24"/>
                <w:szCs w:val="24"/>
              </w:rPr>
              <w:t>参数</w:t>
            </w:r>
          </w:p>
        </w:tc>
        <w:tc>
          <w:tcPr>
            <w:tcW w:w="4384" w:type="dxa"/>
            <w:vMerge w:val="restart"/>
            <w:vAlign w:val="center"/>
          </w:tcPr>
          <w:p>
            <w:pPr>
              <w:spacing w:after="0" w:line="440" w:lineRule="exact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532130</wp:posOffset>
                  </wp:positionH>
                  <wp:positionV relativeFrom="paragraph">
                    <wp:posOffset>352425</wp:posOffset>
                  </wp:positionV>
                  <wp:extent cx="1737360" cy="2316480"/>
                  <wp:effectExtent l="0" t="0" r="15240" b="7620"/>
                  <wp:wrapNone/>
                  <wp:docPr id="1" name="图片 1" descr="83ee608c943356a03fb5a8bb450699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83ee608c943356a03fb5a8bb450699f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360" cy="2316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748" w:type="dxa"/>
            <w:vAlign w:val="center"/>
          </w:tcPr>
          <w:p>
            <w:pPr>
              <w:spacing w:after="0" w:line="440" w:lineRule="exact"/>
              <w:jc w:val="center"/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24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总长</w:t>
            </w:r>
          </w:p>
        </w:tc>
        <w:tc>
          <w:tcPr>
            <w:tcW w:w="1242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≥1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045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mm</w:t>
            </w:r>
          </w:p>
        </w:tc>
        <w:tc>
          <w:tcPr>
            <w:tcW w:w="4384" w:type="dxa"/>
            <w:vMerge w:val="continue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748" w:type="dxa"/>
            <w:vAlign w:val="center"/>
          </w:tcPr>
          <w:p>
            <w:pPr>
              <w:spacing w:after="0" w:line="440" w:lineRule="exact"/>
              <w:jc w:val="center"/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24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总宽</w:t>
            </w:r>
          </w:p>
        </w:tc>
        <w:tc>
          <w:tcPr>
            <w:tcW w:w="1242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≥6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mm</w:t>
            </w:r>
          </w:p>
        </w:tc>
        <w:tc>
          <w:tcPr>
            <w:tcW w:w="4384" w:type="dxa"/>
            <w:vMerge w:val="continue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748" w:type="dxa"/>
            <w:vAlign w:val="center"/>
          </w:tcPr>
          <w:p>
            <w:pPr>
              <w:spacing w:after="0" w:line="440" w:lineRule="exact"/>
              <w:jc w:val="center"/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24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总高</w:t>
            </w:r>
          </w:p>
        </w:tc>
        <w:tc>
          <w:tcPr>
            <w:tcW w:w="1242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≥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895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mm</w:t>
            </w:r>
          </w:p>
        </w:tc>
        <w:tc>
          <w:tcPr>
            <w:tcW w:w="4384" w:type="dxa"/>
            <w:vMerge w:val="continue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748" w:type="dxa"/>
            <w:vAlign w:val="center"/>
          </w:tcPr>
          <w:p>
            <w:pPr>
              <w:spacing w:after="0" w:line="440" w:lineRule="exact"/>
              <w:jc w:val="center"/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24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折叠宽度</w:t>
            </w:r>
          </w:p>
        </w:tc>
        <w:tc>
          <w:tcPr>
            <w:tcW w:w="1242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≤28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mm</w:t>
            </w:r>
          </w:p>
        </w:tc>
        <w:tc>
          <w:tcPr>
            <w:tcW w:w="4384" w:type="dxa"/>
            <w:vMerge w:val="continue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748" w:type="dxa"/>
            <w:vAlign w:val="center"/>
          </w:tcPr>
          <w:p>
            <w:pPr>
              <w:spacing w:after="0" w:line="440" w:lineRule="exact"/>
              <w:jc w:val="center"/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824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靠背高度</w:t>
            </w:r>
          </w:p>
        </w:tc>
        <w:tc>
          <w:tcPr>
            <w:tcW w:w="1242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≥430mm</w:t>
            </w:r>
          </w:p>
        </w:tc>
        <w:tc>
          <w:tcPr>
            <w:tcW w:w="4384" w:type="dxa"/>
            <w:vMerge w:val="continue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748" w:type="dxa"/>
            <w:vAlign w:val="center"/>
          </w:tcPr>
          <w:p>
            <w:pPr>
              <w:spacing w:after="0" w:line="440" w:lineRule="exact"/>
              <w:jc w:val="center"/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824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座位深度</w:t>
            </w:r>
          </w:p>
        </w:tc>
        <w:tc>
          <w:tcPr>
            <w:tcW w:w="1242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≥450mm</w:t>
            </w:r>
          </w:p>
        </w:tc>
        <w:tc>
          <w:tcPr>
            <w:tcW w:w="4384" w:type="dxa"/>
            <w:vMerge w:val="continue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748" w:type="dxa"/>
            <w:vAlign w:val="center"/>
          </w:tcPr>
          <w:p>
            <w:pPr>
              <w:spacing w:after="0" w:line="440" w:lineRule="exact"/>
              <w:jc w:val="center"/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824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座位宽度</w:t>
            </w:r>
          </w:p>
        </w:tc>
        <w:tc>
          <w:tcPr>
            <w:tcW w:w="1242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≥4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55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mm</w:t>
            </w:r>
          </w:p>
        </w:tc>
        <w:tc>
          <w:tcPr>
            <w:tcW w:w="4384" w:type="dxa"/>
            <w:vMerge w:val="continue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748" w:type="dxa"/>
            <w:vAlign w:val="center"/>
          </w:tcPr>
          <w:p>
            <w:pPr>
              <w:spacing w:after="0" w:line="440" w:lineRule="exact"/>
              <w:jc w:val="center"/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824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扶手高</w:t>
            </w:r>
          </w:p>
        </w:tc>
        <w:tc>
          <w:tcPr>
            <w:tcW w:w="1242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≥7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mm</w:t>
            </w:r>
          </w:p>
        </w:tc>
        <w:tc>
          <w:tcPr>
            <w:tcW w:w="4384" w:type="dxa"/>
            <w:vMerge w:val="continue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748" w:type="dxa"/>
            <w:vAlign w:val="center"/>
          </w:tcPr>
          <w:p>
            <w:pPr>
              <w:spacing w:after="0" w:line="440" w:lineRule="exact"/>
              <w:jc w:val="center"/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824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座位离地面高度</w:t>
            </w:r>
          </w:p>
        </w:tc>
        <w:tc>
          <w:tcPr>
            <w:tcW w:w="1242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≥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495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mm</w:t>
            </w:r>
          </w:p>
        </w:tc>
        <w:tc>
          <w:tcPr>
            <w:tcW w:w="4384" w:type="dxa"/>
            <w:vMerge w:val="continue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</w:trPr>
        <w:tc>
          <w:tcPr>
            <w:tcW w:w="748" w:type="dxa"/>
            <w:vAlign w:val="center"/>
          </w:tcPr>
          <w:p>
            <w:pPr>
              <w:spacing w:after="0" w:line="440" w:lineRule="exact"/>
              <w:jc w:val="center"/>
              <w:rPr>
                <w:rFonts w:hint="default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824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前轮</w:t>
            </w:r>
          </w:p>
        </w:tc>
        <w:tc>
          <w:tcPr>
            <w:tcW w:w="1242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≥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寸</w:t>
            </w:r>
          </w:p>
        </w:tc>
        <w:tc>
          <w:tcPr>
            <w:tcW w:w="4384" w:type="dxa"/>
            <w:vMerge w:val="continue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</w:trPr>
        <w:tc>
          <w:tcPr>
            <w:tcW w:w="748" w:type="dxa"/>
            <w:vAlign w:val="center"/>
          </w:tcPr>
          <w:p>
            <w:pPr>
              <w:spacing w:after="0" w:line="440" w:lineRule="exact"/>
              <w:jc w:val="center"/>
              <w:rPr>
                <w:rFonts w:hint="default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824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后轮</w:t>
            </w:r>
          </w:p>
        </w:tc>
        <w:tc>
          <w:tcPr>
            <w:tcW w:w="1242" w:type="dxa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≥24寸</w:t>
            </w:r>
          </w:p>
        </w:tc>
        <w:tc>
          <w:tcPr>
            <w:tcW w:w="4384" w:type="dxa"/>
            <w:vMerge w:val="continue"/>
            <w:vAlign w:val="center"/>
          </w:tcPr>
          <w:p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</w:tbl>
    <w:p>
      <w:pPr>
        <w:spacing w:after="0" w:line="540" w:lineRule="exact"/>
        <w:rPr>
          <w:rFonts w:hint="eastAsia" w:cs="Tahoma" w:asciiTheme="minorEastAsia" w:hAnsiTheme="minorEastAsia" w:eastAsiaTheme="minorEastAsia"/>
          <w:b/>
          <w:color w:val="000000"/>
          <w:sz w:val="28"/>
          <w:szCs w:val="28"/>
          <w:lang w:val="en-US" w:eastAsia="zh-CN"/>
        </w:rPr>
      </w:pPr>
      <w:r>
        <w:rPr>
          <w:rFonts w:hint="eastAsia" w:cs="Tahoma" w:asciiTheme="minorEastAsia" w:hAnsiTheme="minorEastAsia" w:eastAsiaTheme="minorEastAsia"/>
          <w:b/>
          <w:color w:val="000000"/>
          <w:sz w:val="28"/>
          <w:szCs w:val="28"/>
          <w:lang w:val="en-US" w:eastAsia="zh-CN"/>
        </w:rPr>
        <w:t>二、性能及结构特点：</w:t>
      </w:r>
    </w:p>
    <w:p>
      <w:pPr>
        <w:spacing w:after="0" w:line="540" w:lineRule="exact"/>
        <w:rPr>
          <w:rFonts w:hint="eastAsia" w:cs="Tahoma" w:asciiTheme="minorEastAsia" w:hAnsiTheme="minorEastAsia" w:eastAsiaTheme="minorEastAsia"/>
          <w:b/>
          <w:color w:val="000000"/>
          <w:sz w:val="24"/>
          <w:szCs w:val="24"/>
          <w:lang w:eastAsia="zh-CN"/>
        </w:rPr>
      </w:pPr>
      <w:r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  <w:t>1、符合</w:t>
      </w:r>
      <w:r>
        <w:rPr>
          <w:rFonts w:cs="Tahoma" w:asciiTheme="minorEastAsia" w:hAnsiTheme="minorEastAsia" w:eastAsiaTheme="minorEastAsia"/>
          <w:color w:val="000000"/>
          <w:sz w:val="24"/>
          <w:szCs w:val="24"/>
        </w:rPr>
        <w:t>GB/T13800</w:t>
      </w:r>
      <w:r>
        <w:rPr>
          <w:rFonts w:hint="eastAsia" w:cs="Tahoma" w:asciiTheme="minorEastAsia" w:hAnsiTheme="minorEastAsia" w:eastAsiaTheme="minorEastAsia"/>
          <w:color w:val="000000"/>
          <w:sz w:val="24"/>
          <w:szCs w:val="24"/>
        </w:rPr>
        <w:t>-2009《手动轮椅车》国家标准作为设计生产的执行标准</w:t>
      </w:r>
      <w:r>
        <w:rPr>
          <w:rFonts w:hint="eastAsia" w:cs="Tahoma" w:asciiTheme="minorEastAsia" w:hAnsiTheme="minorEastAsia" w:eastAsiaTheme="minorEastAsia"/>
          <w:color w:val="000000"/>
          <w:sz w:val="24"/>
          <w:szCs w:val="24"/>
          <w:lang w:eastAsia="zh-CN"/>
        </w:rPr>
        <w:t>；</w:t>
      </w:r>
    </w:p>
    <w:p>
      <w:pPr>
        <w:spacing w:after="0" w:line="540" w:lineRule="exact"/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  <w:t>2、 车架选用高强度钢管材料，管直径≥22mm，厚度≥1.2mm,；表面采用电镀处理；整车可折叠，便于携带；</w:t>
      </w:r>
    </w:p>
    <w:p>
      <w:pPr>
        <w:spacing w:after="0" w:line="540" w:lineRule="exact"/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  <w:t>3、 轮胎：前轮为≥8寸塑料实心轮胎；后轮为≥24寸实心轮胎；</w:t>
      </w:r>
    </w:p>
    <w:p>
      <w:pPr>
        <w:spacing w:after="0" w:line="540" w:lineRule="exact"/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  <w:t>4、 座垫：硬座坐垫，坐垫采用PU皮革材质内包高密度高回弹海绵缝制而成，中间带有大容量座便器，适用于行动不便的老年人和残疾人使用。</w:t>
      </w:r>
    </w:p>
    <w:p>
      <w:pPr>
        <w:spacing w:after="0" w:line="540" w:lineRule="exact"/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  <w:t>5、 扶手：ABS塑料扶手，环保无味，ABS安全护板；</w:t>
      </w:r>
    </w:p>
    <w:p>
      <w:pPr>
        <w:spacing w:after="0" w:line="540" w:lineRule="exact"/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  <w:t>6、 脚托：高强度塑料脚踏板，配有小腿带；</w:t>
      </w:r>
    </w:p>
    <w:p>
      <w:pPr>
        <w:spacing w:after="0" w:line="540" w:lineRule="exact"/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</w:pPr>
    </w:p>
    <w:p>
      <w:pPr>
        <w:tabs>
          <w:tab w:val="left" w:pos="205"/>
        </w:tabs>
        <w:spacing w:after="0" w:line="540" w:lineRule="exact"/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三、商务参数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lang w:val="en-US" w:eastAsia="zh-CN"/>
        </w:rPr>
        <w:cr/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</w:rPr>
        <w:t>*1、运输、装卸、培训、安装调试：由中标人负责承担，最终通过使用科室、设备科及相关部门确认验收交付使用。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</w:rPr>
        <w:cr/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</w:rPr>
        <w:t>*2、交货时间：按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  <w:lang w:val="en-US" w:eastAsia="zh-CN"/>
        </w:rPr>
        <w:t>中标公示无异议后30天内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</w:rPr>
        <w:t>送货上门，逾期按合同赔付。</w:t>
      </w:r>
    </w:p>
    <w:p>
      <w:pPr>
        <w:tabs>
          <w:tab w:val="left" w:pos="205"/>
        </w:tabs>
        <w:spacing w:after="0" w:line="540" w:lineRule="exact"/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  <w:lang w:val="en-US" w:eastAsia="zh-CN"/>
        </w:rPr>
      </w:pP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</w:rPr>
        <w:t>*3、付款方式：设备验收合格后，供应商将发票交到娄底市中心医院后按程序支付货款90%（按医院财务制度一般情况下4个月内支付、特殊情况下最多不超过6个月），甲方在设备验收合格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  <w:lang w:val="en-US" w:eastAsia="zh-CN"/>
        </w:rPr>
        <w:t>满一年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</w:rPr>
        <w:t>后支付10%余款给乙方。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</w:rPr>
        <w:cr/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</w:rPr>
        <w:t>*4、交货地点：娄底市中心医院。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</w:rPr>
        <w:cr/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</w:rPr>
        <w:t>*5、质保与售后：整机保修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  <w:lang w:val="en-US" w:eastAsia="zh-CN"/>
        </w:rPr>
        <w:t>一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</w:rPr>
        <w:t>年，终身维修。出具原厂售后质保承诺书，质保期内每年巡检两次。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  <w:lang w:val="zh-CN" w:eastAsia="zh-CN"/>
        </w:rPr>
        <w:t>质保期内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  <w:lang w:val="en-US" w:eastAsia="zh-CN"/>
        </w:rPr>
        <w:t>出现故障，24小时响应，响应后4小时上门服务。</w:t>
      </w:r>
    </w:p>
    <w:p>
      <w:pPr>
        <w:tabs>
          <w:tab w:val="left" w:pos="205"/>
        </w:tabs>
        <w:spacing w:after="0" w:line="540" w:lineRule="exact"/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  <w:lang w:val="en-US" w:eastAsia="zh-CN"/>
        </w:rPr>
      </w:pP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  <w:lang w:val="en-US" w:eastAsia="zh-CN"/>
        </w:rPr>
        <w:t>*6、在投标文件中必须提供相关佐证资料（加盖原厂公章的技术参数、技术白皮书、说明书、彩页），并在响应表中备注该条参数响应或正偏离的佐证资料所在页码。</w:t>
      </w:r>
    </w:p>
    <w:p>
      <w:pPr>
        <w:tabs>
          <w:tab w:val="left" w:pos="205"/>
        </w:tabs>
        <w:spacing w:after="0" w:line="540" w:lineRule="exact"/>
        <w:rPr>
          <w:rFonts w:hint="default" w:cs="Arial" w:asciiTheme="minorEastAsia" w:hAnsiTheme="minorEastAsia" w:eastAsiaTheme="minorEastAsia"/>
          <w:color w:val="000000" w:themeColor="text1"/>
          <w:sz w:val="24"/>
          <w:szCs w:val="24"/>
          <w:lang w:val="en-US" w:eastAsia="zh-CN"/>
        </w:rPr>
      </w:pP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</w:rPr>
        <w:t>*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  <w:lang w:val="en-US" w:eastAsia="zh-CN"/>
        </w:rPr>
        <w:t>7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</w:rPr>
        <w:t>、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  <w:lang w:val="en-US" w:eastAsia="zh-CN"/>
        </w:rPr>
        <w:t>验收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</w:rPr>
        <w:t>期间，采购人发现投标人投标文件的响应及正偏离参数实际为负偏离的，采购人有权终止合同，同时，中标人赔偿采购人合同总价的30%。如果采购人的损失大于该赔偿金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  <w:lang w:eastAsia="zh-CN"/>
        </w:rPr>
        <w:t>，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</w:rPr>
        <w:t>采购人保留继续要求中标人赔偿的权利。</w:t>
      </w:r>
    </w:p>
    <w:p>
      <w:pPr>
        <w:tabs>
          <w:tab w:val="left" w:pos="7421"/>
        </w:tabs>
        <w:bidi w:val="0"/>
        <w:jc w:val="left"/>
        <w:rPr>
          <w:lang w:val="en-US" w:eastAsia="zh-CN"/>
        </w:rPr>
      </w:pPr>
    </w:p>
    <w:p>
      <w:pPr>
        <w:spacing w:line="220" w:lineRule="atLeast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MDQyMjQ3NzEyNDNkNjliYTRmNGI3YjRjNjU2OGIyY2MifQ=="/>
  </w:docVars>
  <w:rsids>
    <w:rsidRoot w:val="00D31D50"/>
    <w:rsid w:val="00065E26"/>
    <w:rsid w:val="00250DA4"/>
    <w:rsid w:val="00323B43"/>
    <w:rsid w:val="003508D1"/>
    <w:rsid w:val="003A0C53"/>
    <w:rsid w:val="003D37D8"/>
    <w:rsid w:val="00426133"/>
    <w:rsid w:val="004358AB"/>
    <w:rsid w:val="0046412D"/>
    <w:rsid w:val="005670AB"/>
    <w:rsid w:val="00582953"/>
    <w:rsid w:val="005E44D4"/>
    <w:rsid w:val="005F5657"/>
    <w:rsid w:val="006571E4"/>
    <w:rsid w:val="006646AB"/>
    <w:rsid w:val="00692F69"/>
    <w:rsid w:val="0079335A"/>
    <w:rsid w:val="007D0243"/>
    <w:rsid w:val="008B7726"/>
    <w:rsid w:val="00AD5877"/>
    <w:rsid w:val="00B91F96"/>
    <w:rsid w:val="00BB75A2"/>
    <w:rsid w:val="00BC2BE0"/>
    <w:rsid w:val="00CA7832"/>
    <w:rsid w:val="00D31D50"/>
    <w:rsid w:val="00D64CAF"/>
    <w:rsid w:val="00E91BF6"/>
    <w:rsid w:val="00F26F51"/>
    <w:rsid w:val="00F97A6C"/>
    <w:rsid w:val="00FB59C5"/>
    <w:rsid w:val="040F7EE3"/>
    <w:rsid w:val="077B2BE2"/>
    <w:rsid w:val="0FE827F1"/>
    <w:rsid w:val="12606784"/>
    <w:rsid w:val="2BF43371"/>
    <w:rsid w:val="40ED1039"/>
    <w:rsid w:val="424C484F"/>
    <w:rsid w:val="42CD0660"/>
    <w:rsid w:val="4A8D1749"/>
    <w:rsid w:val="4E9715A6"/>
    <w:rsid w:val="59CD1802"/>
    <w:rsid w:val="62BB014A"/>
    <w:rsid w:val="62DE2367"/>
    <w:rsid w:val="73B6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眉 Char"/>
    <w:basedOn w:val="7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520</Words>
  <Characters>607</Characters>
  <Lines>3</Lines>
  <Paragraphs>1</Paragraphs>
  <TotalTime>2</TotalTime>
  <ScaleCrop>false</ScaleCrop>
  <LinksUpToDate>false</LinksUpToDate>
  <CharactersWithSpaces>623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蓝色贝雷</cp:lastModifiedBy>
  <dcterms:modified xsi:type="dcterms:W3CDTF">2023-06-01T02:41:06Z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F117B85841D245F7A93B701674C38D9E</vt:lpwstr>
  </property>
</Properties>
</file>