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napToGrid w:val="0"/>
        <w:jc w:val="center"/>
        <w:rPr>
          <w:rFonts w:ascii="Arial" w:hAnsi="Arial" w:eastAsia="方正小标宋简体" w:cs="Arial"/>
          <w:color w:val="auto"/>
          <w:sz w:val="72"/>
          <w:szCs w:val="72"/>
        </w:rPr>
      </w:pPr>
      <w:bookmarkStart w:id="0" w:name="_Toc16523570"/>
    </w:p>
    <w:p>
      <w:pPr>
        <w:pStyle w:val="12"/>
        <w:tabs>
          <w:tab w:val="left" w:pos="312"/>
        </w:tabs>
        <w:snapToGrid w:val="0"/>
        <w:spacing w:line="288" w:lineRule="auto"/>
        <w:jc w:val="center"/>
        <w:rPr>
          <w:rFonts w:ascii="Arial" w:hAnsi="Arial" w:eastAsia="方正小标宋简体" w:cs="Arial"/>
          <w:sz w:val="72"/>
          <w:szCs w:val="72"/>
        </w:rPr>
      </w:pPr>
      <w:r>
        <w:rPr>
          <w:rFonts w:hint="eastAsia" w:ascii="Arial" w:hAnsi="Arial" w:eastAsia="方正小标宋简体" w:cs="Arial"/>
          <w:sz w:val="72"/>
          <w:szCs w:val="72"/>
        </w:rPr>
        <w:t>娄底市中心医院院内</w:t>
      </w:r>
    </w:p>
    <w:p>
      <w:pPr>
        <w:pStyle w:val="12"/>
        <w:snapToGrid w:val="0"/>
        <w:jc w:val="center"/>
        <w:rPr>
          <w:rFonts w:ascii="Arial" w:hAnsi="Arial" w:eastAsia="方正小标宋简体" w:cs="Arial"/>
          <w:sz w:val="72"/>
          <w:szCs w:val="72"/>
        </w:rPr>
      </w:pPr>
    </w:p>
    <w:p>
      <w:pPr>
        <w:pStyle w:val="12"/>
        <w:snapToGrid w:val="0"/>
        <w:jc w:val="center"/>
        <w:rPr>
          <w:rFonts w:ascii="Arial" w:hAnsi="Arial" w:eastAsia="方正小标宋简体" w:cs="Arial"/>
          <w:sz w:val="72"/>
          <w:szCs w:val="72"/>
        </w:rPr>
      </w:pPr>
      <w:r>
        <w:rPr>
          <w:rFonts w:hint="eastAsia" w:ascii="Arial" w:hAnsi="Arial" w:eastAsia="方正小标宋简体" w:cs="Arial"/>
          <w:sz w:val="72"/>
          <w:szCs w:val="72"/>
        </w:rPr>
        <w:t>招</w:t>
      </w:r>
    </w:p>
    <w:p>
      <w:pPr>
        <w:pStyle w:val="12"/>
        <w:snapToGrid w:val="0"/>
        <w:jc w:val="center"/>
        <w:rPr>
          <w:rFonts w:ascii="Arial" w:hAnsi="Arial" w:eastAsia="方正小标宋简体" w:cs="Arial"/>
          <w:sz w:val="72"/>
          <w:szCs w:val="72"/>
        </w:rPr>
      </w:pPr>
    </w:p>
    <w:p>
      <w:pPr>
        <w:pStyle w:val="12"/>
        <w:snapToGrid w:val="0"/>
        <w:jc w:val="center"/>
        <w:rPr>
          <w:rFonts w:ascii="Arial" w:hAnsi="Arial" w:eastAsia="方正小标宋简体" w:cs="Arial"/>
          <w:sz w:val="72"/>
          <w:szCs w:val="72"/>
        </w:rPr>
      </w:pPr>
      <w:r>
        <w:rPr>
          <w:rFonts w:ascii="Arial" w:hAnsi="Arial" w:eastAsia="方正小标宋简体" w:cs="Arial"/>
          <w:sz w:val="72"/>
          <w:szCs w:val="72"/>
        </w:rPr>
        <w:t>标</w:t>
      </w:r>
    </w:p>
    <w:p>
      <w:pPr>
        <w:pStyle w:val="12"/>
        <w:snapToGrid w:val="0"/>
        <w:jc w:val="center"/>
        <w:rPr>
          <w:rFonts w:ascii="Arial" w:hAnsi="Arial" w:eastAsia="方正小标宋简体" w:cs="Arial"/>
          <w:sz w:val="72"/>
          <w:szCs w:val="72"/>
        </w:rPr>
      </w:pPr>
    </w:p>
    <w:p>
      <w:pPr>
        <w:pStyle w:val="12"/>
        <w:snapToGrid w:val="0"/>
        <w:jc w:val="center"/>
        <w:rPr>
          <w:rFonts w:ascii="Arial" w:hAnsi="Arial" w:eastAsia="方正小标宋简体" w:cs="Arial"/>
          <w:sz w:val="72"/>
          <w:szCs w:val="72"/>
        </w:rPr>
      </w:pPr>
      <w:r>
        <w:rPr>
          <w:rFonts w:ascii="Arial" w:hAnsi="Arial" w:eastAsia="方正小标宋简体" w:cs="Arial"/>
          <w:sz w:val="72"/>
          <w:szCs w:val="72"/>
        </w:rPr>
        <w:t>文</w:t>
      </w:r>
    </w:p>
    <w:p>
      <w:pPr>
        <w:pStyle w:val="12"/>
        <w:snapToGrid w:val="0"/>
        <w:jc w:val="center"/>
        <w:rPr>
          <w:rFonts w:ascii="Arial" w:hAnsi="Arial" w:eastAsia="方正小标宋简体" w:cs="Arial"/>
          <w:sz w:val="72"/>
          <w:szCs w:val="72"/>
        </w:rPr>
      </w:pPr>
    </w:p>
    <w:p>
      <w:pPr>
        <w:pStyle w:val="12"/>
        <w:snapToGrid w:val="0"/>
        <w:jc w:val="center"/>
        <w:rPr>
          <w:rFonts w:ascii="Arial" w:hAnsi="Arial" w:eastAsia="方正小标宋简体" w:cs="Arial"/>
          <w:sz w:val="36"/>
          <w:szCs w:val="36"/>
        </w:rPr>
      </w:pPr>
      <w:r>
        <w:rPr>
          <w:rFonts w:ascii="Arial" w:hAnsi="Arial" w:eastAsia="方正小标宋简体" w:cs="Arial"/>
          <w:sz w:val="72"/>
          <w:szCs w:val="72"/>
        </w:rPr>
        <w:t>件</w:t>
      </w:r>
    </w:p>
    <w:p>
      <w:pPr>
        <w:pStyle w:val="12"/>
        <w:snapToGrid w:val="0"/>
        <w:jc w:val="center"/>
        <w:rPr>
          <w:rFonts w:ascii="Arial" w:hAnsi="Arial" w:cs="Arial"/>
          <w:sz w:val="32"/>
          <w:szCs w:val="32"/>
        </w:rPr>
      </w:pPr>
    </w:p>
    <w:p>
      <w:pPr>
        <w:pStyle w:val="12"/>
        <w:snapToGrid w:val="0"/>
        <w:jc w:val="center"/>
        <w:rPr>
          <w:rFonts w:ascii="Arial" w:hAnsi="Arial" w:cs="Arial"/>
          <w:sz w:val="32"/>
          <w:szCs w:val="32"/>
        </w:rPr>
      </w:pPr>
    </w:p>
    <w:p>
      <w:pPr>
        <w:pStyle w:val="12"/>
        <w:snapToGrid w:val="0"/>
        <w:jc w:val="center"/>
        <w:rPr>
          <w:rFonts w:ascii="Arial" w:hAnsi="Arial" w:cs="Arial"/>
          <w:sz w:val="32"/>
          <w:szCs w:val="32"/>
        </w:rPr>
      </w:pPr>
    </w:p>
    <w:p>
      <w:pPr>
        <w:spacing w:line="360" w:lineRule="auto"/>
        <w:rPr>
          <w:rFonts w:hint="eastAsia"/>
          <w:bCs/>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娄底市中心医院设备科医疗器械招标文件</w:t>
      </w:r>
    </w:p>
    <w:p>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（空气波压力治疗仪公开挂网</w:t>
      </w:r>
      <w:r>
        <w:rPr>
          <w:rFonts w:hint="eastAsia" w:ascii="Times New Roman" w:hAnsi="Times New Roman" w:eastAsia="宋体" w:cs="Times New Roman"/>
          <w:b/>
          <w:bCs/>
          <w:kern w:val="44"/>
          <w:sz w:val="32"/>
          <w:szCs w:val="32"/>
          <w:lang w:val="en-US" w:eastAsia="zh-CN" w:bidi="ar-SA"/>
        </w:rPr>
        <w:t>）</w:t>
      </w:r>
    </w:p>
    <w:p>
      <w:pPr>
        <w:spacing w:line="320" w:lineRule="exact"/>
        <w:jc w:val="left"/>
        <w:rPr>
          <w:sz w:val="24"/>
        </w:rPr>
      </w:pPr>
    </w:p>
    <w:p>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三</w:t>
      </w:r>
      <w:r>
        <w:rPr>
          <w:rFonts w:hint="eastAsia" w:ascii="宋体" w:hAnsi="宋体" w:cs="宋体"/>
          <w:bCs/>
          <w:sz w:val="32"/>
          <w:szCs w:val="32"/>
        </w:rPr>
        <w:t>年</w:t>
      </w:r>
      <w:r>
        <w:rPr>
          <w:rFonts w:hint="eastAsia" w:ascii="宋体" w:hAnsi="宋体" w:cs="宋体"/>
          <w:bCs/>
          <w:sz w:val="32"/>
          <w:szCs w:val="32"/>
          <w:lang w:val="en-US" w:eastAsia="zh-CN"/>
        </w:rPr>
        <w:t>十</w:t>
      </w:r>
      <w:r>
        <w:rPr>
          <w:rFonts w:hint="eastAsia" w:ascii="宋体" w:hAnsi="宋体" w:cs="宋体"/>
          <w:bCs/>
          <w:sz w:val="32"/>
          <w:szCs w:val="32"/>
        </w:rPr>
        <w:t>月</w:t>
      </w:r>
    </w:p>
    <w:p>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pPr>
        <w:pStyle w:val="12"/>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空气波压力治疗仪</w:t>
      </w:r>
      <w:r>
        <w:rPr>
          <w:rFonts w:hint="eastAsia" w:asciiTheme="minorEastAsia" w:hAnsiTheme="minorEastAsia" w:eastAsiaTheme="minorEastAsia" w:cstheme="minorEastAsia"/>
          <w:bCs/>
          <w:color w:val="auto"/>
          <w:sz w:val="24"/>
          <w:szCs w:val="24"/>
          <w:lang w:val="en-US" w:eastAsia="zh-CN"/>
        </w:rPr>
        <w:t>项目进行院内挂网招标，将招标事项公告如下：</w:t>
      </w:r>
    </w:p>
    <w:p>
      <w:pPr>
        <w:pStyle w:val="12"/>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pPr>
        <w:pStyle w:val="12"/>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空气波压力治疗仪</w:t>
      </w:r>
      <w:r>
        <w:rPr>
          <w:rFonts w:hint="eastAsia" w:asciiTheme="minorEastAsia" w:hAnsiTheme="minorEastAsia" w:eastAsiaTheme="minorEastAsia" w:cstheme="minorEastAsia"/>
          <w:b w:val="0"/>
          <w:bCs/>
          <w:color w:val="auto"/>
          <w:sz w:val="24"/>
          <w:szCs w:val="24"/>
          <w:lang w:val="en-US" w:eastAsia="zh-CN"/>
        </w:rPr>
        <w:t>采购项目</w:t>
      </w:r>
    </w:p>
    <w:p>
      <w:pPr>
        <w:pStyle w:val="12"/>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pPr>
        <w:pStyle w:val="12"/>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院内公开挂网，最低价评分，在满足所有参数的条件下，报价最低者中标，如有两个并列最低价，则由两个并列最低价投标人再次报价，直至出现最低报价为止。</w:t>
      </w:r>
    </w:p>
    <w:bookmarkEnd w:id="0"/>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1、具有独立法人地位，营业执照具有相应的经营范围；</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1、投标截止时间、开标时间：具体时间另行通知</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五、招标人地址和联系方法：</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1、招标人名称：娄底市中心医院</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2、联系人及联系方式：张思远 15115875288</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3、招标人地址：娄底市长青中街51号</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1.2、资格评审时，投标人资格条件不符合国家有关规定或者招标文件要求的，或者拒不按照要求对投标文件进行澄清、说明或补正，或者其说明补正无法证明其为合格投标人的；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1.6、投标文件存在弄虚作假或者隐瞒事实，或者未按照招标文件要求如实提供有关情况和文件，以及证明资料且对投标人有利的，应当否决其投标。被列为中标候选人的，应当取消其中标候选人资格。</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2、有下列情形之一的，招标人将重新招标：</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pPr>
        <w:pStyle w:val="12"/>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pPr>
        <w:pStyle w:val="13"/>
        <w:rPr>
          <w:rFonts w:hint="eastAsia"/>
          <w:lang w:val="en-US" w:eastAsia="zh-CN"/>
        </w:rPr>
      </w:pPr>
    </w:p>
    <w:p>
      <w:pPr>
        <w:pStyle w:val="13"/>
        <w:jc w:val="both"/>
        <w:rPr>
          <w:rFonts w:hint="default"/>
          <w:lang w:val="en-US" w:eastAsia="zh-CN"/>
        </w:rPr>
      </w:pPr>
    </w:p>
    <w:p>
      <w:pPr>
        <w:pStyle w:val="12"/>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pPr>
        <w:pStyle w:val="12"/>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pPr>
        <w:pStyle w:val="13"/>
        <w:rPr>
          <w:rFonts w:hint="eastAsia" w:ascii="宋体" w:hAnsi="宋体" w:cs="宋体"/>
          <w:b/>
          <w:bCs/>
          <w:color w:val="auto"/>
          <w:sz w:val="44"/>
          <w:szCs w:val="44"/>
          <w:lang w:val="en-US" w:eastAsia="zh-CN"/>
        </w:rPr>
      </w:pPr>
    </w:p>
    <w:p>
      <w:pPr>
        <w:pStyle w:val="5"/>
        <w:rPr>
          <w:rFonts w:hint="eastAsia" w:ascii="宋体" w:hAnsi="宋体" w:cs="宋体"/>
          <w:b/>
          <w:bCs/>
          <w:color w:val="auto"/>
          <w:sz w:val="44"/>
          <w:szCs w:val="44"/>
          <w:lang w:val="en-US" w:eastAsia="zh-CN"/>
        </w:rPr>
      </w:pPr>
    </w:p>
    <w:p>
      <w:pPr>
        <w:rPr>
          <w:rFonts w:hint="eastAsia" w:ascii="宋体" w:hAnsi="宋体" w:cs="宋体"/>
          <w:b/>
          <w:bCs/>
          <w:color w:val="auto"/>
          <w:sz w:val="44"/>
          <w:szCs w:val="44"/>
          <w:lang w:val="en-US" w:eastAsia="zh-CN"/>
        </w:rPr>
      </w:pPr>
    </w:p>
    <w:p>
      <w:pPr>
        <w:pStyle w:val="11"/>
        <w:rPr>
          <w:rFonts w:hint="eastAsia"/>
          <w:lang w:val="en-US" w:eastAsia="zh-CN"/>
        </w:rPr>
      </w:pPr>
    </w:p>
    <w:p>
      <w:pPr>
        <w:pStyle w:val="2"/>
        <w:rPr>
          <w:rFonts w:hint="eastAsia" w:ascii="宋体" w:hAnsi="宋体" w:cs="宋体"/>
          <w:b/>
          <w:bCs/>
          <w:color w:val="auto"/>
          <w:sz w:val="44"/>
          <w:szCs w:val="44"/>
          <w:lang w:val="en-US" w:eastAsia="zh-CN"/>
        </w:rPr>
      </w:pPr>
    </w:p>
    <w:p>
      <w:pPr>
        <w:rPr>
          <w:rFonts w:hint="eastAsia" w:ascii="宋体" w:hAnsi="宋体" w:cs="宋体"/>
          <w:b/>
          <w:bCs/>
          <w:color w:val="auto"/>
          <w:sz w:val="44"/>
          <w:szCs w:val="44"/>
          <w:lang w:val="en-US" w:eastAsia="zh-CN"/>
        </w:rPr>
      </w:pPr>
    </w:p>
    <w:p>
      <w:pPr>
        <w:rPr>
          <w:rFonts w:hint="eastAsia" w:ascii="宋体" w:hAnsi="宋体" w:cs="宋体"/>
          <w:b/>
          <w:bCs/>
          <w:color w:val="auto"/>
          <w:sz w:val="44"/>
          <w:szCs w:val="44"/>
          <w:lang w:val="en-US" w:eastAsia="zh-CN"/>
        </w:rPr>
      </w:pPr>
    </w:p>
    <w:p>
      <w:pPr>
        <w:rPr>
          <w:rFonts w:hint="eastAsia" w:ascii="宋体" w:hAnsi="宋体" w:cs="宋体"/>
          <w:b/>
          <w:bCs/>
          <w:color w:val="auto"/>
          <w:sz w:val="44"/>
          <w:szCs w:val="44"/>
          <w:lang w:val="en-US" w:eastAsia="zh-CN"/>
        </w:rPr>
      </w:pPr>
    </w:p>
    <w:p>
      <w:pPr>
        <w:rPr>
          <w:rFonts w:hint="eastAsia"/>
          <w:lang w:val="en-US" w:eastAsia="zh-CN"/>
        </w:rPr>
      </w:pPr>
    </w:p>
    <w:p>
      <w:pPr>
        <w:pStyle w:val="12"/>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9"/>
        <w:tblW w:w="930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958"/>
        <w:gridCol w:w="1721"/>
        <w:gridCol w:w="1710"/>
        <w:gridCol w:w="2134"/>
        <w:gridCol w:w="278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705"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172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设备名称</w:t>
            </w: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134"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7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是否允许进口设备投标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63" w:hRule="atLeast"/>
          <w:jc w:val="center"/>
        </w:trPr>
        <w:tc>
          <w:tcPr>
            <w:tcW w:w="958" w:type="dxa"/>
            <w:tcBorders>
              <w:top w:val="single" w:color="000000" w:sz="6"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1721" w:type="dxa"/>
            <w:tcBorders>
              <w:top w:val="single" w:color="000000" w:sz="6"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color w:val="auto"/>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空气波压力治疗仪</w:t>
            </w:r>
          </w:p>
        </w:tc>
        <w:tc>
          <w:tcPr>
            <w:tcW w:w="1710" w:type="dxa"/>
            <w:tcBorders>
              <w:top w:val="single" w:color="000000" w:sz="6"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134" w:type="dxa"/>
            <w:tcBorders>
              <w:top w:val="single" w:color="000000" w:sz="6" w:space="0"/>
              <w:left w:val="single" w:color="000000" w:sz="6" w:space="0"/>
              <w:bottom w:val="single" w:color="auto" w:sz="4" w:space="0"/>
              <w:right w:val="single" w:color="auto" w:sz="4"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0.67</w:t>
            </w:r>
          </w:p>
        </w:tc>
        <w:tc>
          <w:tcPr>
            <w:tcW w:w="2786" w:type="dxa"/>
            <w:tcBorders>
              <w:top w:val="single" w:color="000000" w:sz="6"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否</w:t>
            </w:r>
          </w:p>
        </w:tc>
      </w:tr>
    </w:tbl>
    <w:p>
      <w:pPr>
        <w:spacing w:line="360" w:lineRule="auto"/>
        <w:rPr>
          <w:rFonts w:hint="eastAsia" w:asciiTheme="minorEastAsia" w:hAnsiTheme="minorEastAsia" w:eastAsiaTheme="minorEastAsia" w:cstheme="minorEastAsia"/>
          <w:bCs/>
          <w:color w:val="auto"/>
          <w:kern w:val="0"/>
          <w:sz w:val="24"/>
          <w:szCs w:val="24"/>
          <w:lang w:val="en-US" w:eastAsia="zh-CN" w:bidi="ar-SA"/>
        </w:rPr>
      </w:pP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二、项目内容及要求</w:t>
      </w:r>
    </w:p>
    <w:p>
      <w:pPr>
        <w:spacing w:line="360" w:lineRule="auto"/>
        <w:ind w:firstLine="482" w:firstLineChars="200"/>
        <w:rPr>
          <w:rFonts w:hint="eastAsia" w:asciiTheme="minorEastAsia" w:hAnsiTheme="minorEastAsia" w:eastAsiaTheme="minorEastAsia" w:cstheme="minorEastAsia"/>
          <w:b/>
          <w:bCs w:val="0"/>
          <w:color w:val="auto"/>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技术参数：</w:t>
      </w:r>
    </w:p>
    <w:p>
      <w:pPr>
        <w:numPr>
          <w:ilvl w:val="0"/>
          <w:numId w:val="3"/>
        </w:numPr>
        <w:spacing w:line="360" w:lineRule="auto"/>
        <w:rPr>
          <w:sz w:val="24"/>
          <w:szCs w:val="24"/>
        </w:rPr>
      </w:pPr>
      <w:r>
        <w:rPr>
          <w:rFonts w:hint="eastAsia"/>
          <w:sz w:val="24"/>
          <w:szCs w:val="24"/>
        </w:rPr>
        <w:t>正常工作条件：</w:t>
      </w:r>
    </w:p>
    <w:p>
      <w:pPr>
        <w:numPr>
          <w:ilvl w:val="1"/>
          <w:numId w:val="4"/>
        </w:numPr>
        <w:spacing w:line="360" w:lineRule="auto"/>
        <w:rPr>
          <w:sz w:val="24"/>
          <w:szCs w:val="24"/>
        </w:rPr>
      </w:pPr>
      <w:r>
        <w:rPr>
          <w:rFonts w:hint="eastAsia"/>
          <w:sz w:val="24"/>
          <w:szCs w:val="24"/>
        </w:rPr>
        <w:t xml:space="preserve">工作环境：温度 5℃～40℃；      </w:t>
      </w:r>
    </w:p>
    <w:p>
      <w:pPr>
        <w:numPr>
          <w:ilvl w:val="1"/>
          <w:numId w:val="4"/>
        </w:numPr>
        <w:spacing w:line="360" w:lineRule="auto"/>
        <w:rPr>
          <w:sz w:val="24"/>
          <w:szCs w:val="24"/>
        </w:rPr>
      </w:pPr>
      <w:r>
        <w:rPr>
          <w:rFonts w:hint="eastAsia"/>
          <w:sz w:val="24"/>
          <w:szCs w:val="24"/>
        </w:rPr>
        <w:t xml:space="preserve">相对湿度：10%～80%；      </w:t>
      </w:r>
    </w:p>
    <w:p>
      <w:pPr>
        <w:numPr>
          <w:ilvl w:val="1"/>
          <w:numId w:val="4"/>
        </w:numPr>
        <w:spacing w:line="360" w:lineRule="auto"/>
        <w:rPr>
          <w:sz w:val="24"/>
          <w:szCs w:val="24"/>
        </w:rPr>
      </w:pPr>
      <w:r>
        <w:rPr>
          <w:rFonts w:hint="eastAsia"/>
          <w:sz w:val="24"/>
          <w:szCs w:val="24"/>
        </w:rPr>
        <w:t>大气压力：</w:t>
      </w:r>
      <w:r>
        <w:rPr>
          <w:rFonts w:hint="eastAsia" w:ascii="宋体" w:hAnsi="宋体" w:cs="宋体"/>
          <w:kern w:val="0"/>
          <w:sz w:val="24"/>
        </w:rPr>
        <w:t>86kPa～106kPa</w:t>
      </w:r>
      <w:r>
        <w:rPr>
          <w:rFonts w:hint="eastAsia"/>
          <w:sz w:val="24"/>
          <w:szCs w:val="24"/>
        </w:rPr>
        <w:t>；</w:t>
      </w:r>
    </w:p>
    <w:p>
      <w:pPr>
        <w:numPr>
          <w:ilvl w:val="1"/>
          <w:numId w:val="4"/>
        </w:numPr>
        <w:spacing w:line="360" w:lineRule="auto"/>
        <w:rPr>
          <w:sz w:val="24"/>
          <w:szCs w:val="24"/>
        </w:rPr>
      </w:pPr>
      <w:r>
        <w:rPr>
          <w:rFonts w:hint="eastAsia"/>
          <w:sz w:val="24"/>
          <w:szCs w:val="24"/>
        </w:rPr>
        <w:t>工作电压：220V</w:t>
      </w:r>
      <w:r>
        <w:rPr>
          <w:rStyle w:val="17"/>
          <w:rFonts w:hint="default"/>
          <w:color w:val="auto"/>
        </w:rPr>
        <w:t>±10%</w:t>
      </w:r>
      <w:r>
        <w:rPr>
          <w:rFonts w:hint="eastAsia"/>
          <w:sz w:val="24"/>
          <w:szCs w:val="24"/>
        </w:rPr>
        <w:t xml:space="preserve">；            </w:t>
      </w:r>
    </w:p>
    <w:p>
      <w:pPr>
        <w:numPr>
          <w:ilvl w:val="1"/>
          <w:numId w:val="4"/>
        </w:numPr>
        <w:spacing w:line="360" w:lineRule="auto"/>
        <w:rPr>
          <w:sz w:val="24"/>
          <w:szCs w:val="24"/>
        </w:rPr>
      </w:pPr>
      <w:r>
        <w:rPr>
          <w:rFonts w:hint="eastAsia"/>
          <w:sz w:val="24"/>
          <w:szCs w:val="24"/>
        </w:rPr>
        <w:t>电源频率：50Hz</w:t>
      </w:r>
      <w:r>
        <w:rPr>
          <w:rStyle w:val="17"/>
          <w:rFonts w:hint="default"/>
          <w:color w:val="auto"/>
        </w:rPr>
        <w:t>±1Hz</w:t>
      </w:r>
      <w:r>
        <w:rPr>
          <w:rFonts w:hint="eastAsia"/>
          <w:sz w:val="24"/>
          <w:szCs w:val="24"/>
        </w:rPr>
        <w:t xml:space="preserve">；      </w:t>
      </w:r>
    </w:p>
    <w:p>
      <w:pPr>
        <w:numPr>
          <w:ilvl w:val="1"/>
          <w:numId w:val="4"/>
        </w:numPr>
        <w:spacing w:line="360" w:lineRule="auto"/>
        <w:rPr>
          <w:sz w:val="24"/>
          <w:szCs w:val="24"/>
        </w:rPr>
      </w:pPr>
      <w:r>
        <w:rPr>
          <w:rFonts w:hint="eastAsia"/>
          <w:sz w:val="24"/>
          <w:szCs w:val="24"/>
        </w:rPr>
        <w:t>输入功率：≤60VA。</w:t>
      </w:r>
    </w:p>
    <w:p>
      <w:pPr>
        <w:numPr>
          <w:ilvl w:val="0"/>
          <w:numId w:val="3"/>
        </w:numPr>
        <w:spacing w:line="360" w:lineRule="auto"/>
        <w:rPr>
          <w:rFonts w:cs="Times New Roman" w:asciiTheme="minorEastAsia" w:hAnsiTheme="minorEastAsia"/>
          <w:color w:val="000000" w:themeColor="text1"/>
          <w:sz w:val="24"/>
          <w:szCs w:val="28"/>
          <w14:textFill>
            <w14:solidFill>
              <w14:schemeClr w14:val="tx1"/>
            </w14:solidFill>
          </w14:textFill>
        </w:rPr>
      </w:pPr>
      <w:r>
        <w:rPr>
          <w:rFonts w:hint="eastAsia" w:cs="Times New Roman" w:asciiTheme="minorEastAsia" w:hAnsiTheme="minorEastAsia"/>
          <w:color w:val="000000" w:themeColor="text1"/>
          <w:sz w:val="24"/>
          <w:szCs w:val="28"/>
          <w14:textFill>
            <w14:solidFill>
              <w14:schemeClr w14:val="tx1"/>
            </w14:solidFill>
          </w14:textFill>
        </w:rPr>
        <w:t>便携式机型，结构轻巧，旋扭操作，操作简</w:t>
      </w:r>
      <w:r>
        <w:rPr>
          <w:rFonts w:hint="eastAsia"/>
          <w:sz w:val="24"/>
          <w:szCs w:val="24"/>
        </w:rPr>
        <w:t>便（可提供相关</w:t>
      </w:r>
      <w:r>
        <w:rPr>
          <w:rFonts w:hint="eastAsia"/>
          <w:sz w:val="24"/>
          <w:szCs w:val="24"/>
          <w:lang w:val="en-US" w:eastAsia="zh-CN"/>
        </w:rPr>
        <w:t>证明文件</w:t>
      </w:r>
      <w:r>
        <w:rPr>
          <w:sz w:val="24"/>
          <w:szCs w:val="24"/>
        </w:rPr>
        <w:t>）</w:t>
      </w:r>
      <w:r>
        <w:rPr>
          <w:rFonts w:hint="eastAsia"/>
          <w:sz w:val="24"/>
          <w:szCs w:val="24"/>
        </w:rPr>
        <w:t>。</w:t>
      </w:r>
    </w:p>
    <w:p>
      <w:pPr>
        <w:numPr>
          <w:ilvl w:val="0"/>
          <w:numId w:val="3"/>
        </w:numPr>
        <w:spacing w:line="360" w:lineRule="auto"/>
        <w:rPr>
          <w:rFonts w:cs="Times New Roman" w:asciiTheme="minorEastAsia" w:hAnsiTheme="minorEastAsia"/>
          <w:color w:val="000000" w:themeColor="text1"/>
          <w:sz w:val="24"/>
          <w:szCs w:val="28"/>
          <w14:textFill>
            <w14:solidFill>
              <w14:schemeClr w14:val="tx1"/>
            </w14:solidFill>
          </w14:textFill>
        </w:rPr>
      </w:pPr>
      <w:r>
        <w:rPr>
          <w:rFonts w:hint="eastAsia" w:ascii="宋体" w:hAnsi="宋体" w:eastAsia="宋体" w:cs="宋体"/>
          <w:sz w:val="24"/>
          <w:szCs w:val="24"/>
        </w:rPr>
        <w:t>治疗仪</w:t>
      </w:r>
      <w:r>
        <w:rPr>
          <w:rFonts w:hint="eastAsia" w:cs="Times New Roman" w:asciiTheme="minorEastAsia" w:hAnsiTheme="minorEastAsia"/>
          <w:color w:val="000000" w:themeColor="text1"/>
          <w:sz w:val="24"/>
          <w:szCs w:val="28"/>
          <w14:textFill>
            <w14:solidFill>
              <w14:schemeClr w14:val="tx1"/>
            </w14:solidFill>
          </w14:textFill>
        </w:rPr>
        <w:t>时间设定</w:t>
      </w:r>
      <w:r>
        <w:rPr>
          <w:rFonts w:hint="eastAsia" w:ascii="宋体" w:hAnsi="宋体" w:cs="宋体"/>
          <w:kern w:val="0"/>
          <w:sz w:val="24"/>
        </w:rPr>
        <w:t>连续运行或设定</w:t>
      </w:r>
      <w:r>
        <w:rPr>
          <w:rFonts w:hint="eastAsia" w:cs="Times New Roman" w:asciiTheme="minorEastAsia" w:hAnsiTheme="minorEastAsia"/>
          <w:color w:val="000000" w:themeColor="text1"/>
          <w:sz w:val="24"/>
          <w:szCs w:val="28"/>
          <w14:textFill>
            <w14:solidFill>
              <w14:schemeClr w14:val="tx1"/>
            </w14:solidFill>
          </w14:textFill>
        </w:rPr>
        <w:t>功能时间范围</w:t>
      </w:r>
      <w:r>
        <w:rPr>
          <w:rFonts w:hint="eastAsia" w:ascii="宋体" w:hAnsi="宋体" w:cs="宋体"/>
          <w:kern w:val="0"/>
          <w:sz w:val="24"/>
        </w:rPr>
        <w:t>0～30min；步长1 min；</w:t>
      </w:r>
    </w:p>
    <w:p>
      <w:pPr>
        <w:numPr>
          <w:ilvl w:val="0"/>
          <w:numId w:val="3"/>
        </w:numPr>
        <w:spacing w:line="360" w:lineRule="auto"/>
        <w:rPr>
          <w:rFonts w:cs="Times New Roman" w:asciiTheme="minorEastAsia" w:hAnsiTheme="minorEastAsia"/>
          <w:color w:val="000000" w:themeColor="text1"/>
          <w:sz w:val="24"/>
          <w:szCs w:val="28"/>
          <w14:textFill>
            <w14:solidFill>
              <w14:schemeClr w14:val="tx1"/>
            </w14:solidFill>
          </w14:textFill>
        </w:rPr>
      </w:pPr>
      <w:r>
        <w:rPr>
          <w:rFonts w:hint="eastAsia" w:cs="Times New Roman" w:asciiTheme="minorEastAsia" w:hAnsiTheme="minorEastAsia"/>
          <w:color w:val="000000" w:themeColor="text1"/>
          <w:sz w:val="24"/>
          <w:szCs w:val="28"/>
          <w14:textFill>
            <w14:solidFill>
              <w14:schemeClr w14:val="tx1"/>
            </w14:solidFill>
          </w14:textFill>
        </w:rPr>
        <w:t>治疗模式：</w:t>
      </w:r>
      <w:r>
        <w:rPr>
          <w:rFonts w:hint="eastAsia"/>
          <w:sz w:val="24"/>
        </w:rPr>
        <w:t>由远端到近端的逐个渐进充气模式；</w:t>
      </w:r>
    </w:p>
    <w:p>
      <w:pPr>
        <w:numPr>
          <w:ilvl w:val="0"/>
          <w:numId w:val="3"/>
        </w:numPr>
        <w:spacing w:line="360" w:lineRule="auto"/>
        <w:rPr>
          <w:rStyle w:val="17"/>
          <w:rFonts w:hint="default"/>
        </w:rPr>
      </w:pPr>
      <w:r>
        <w:rPr>
          <w:rFonts w:hint="eastAsia"/>
          <w:sz w:val="24"/>
          <w:szCs w:val="24"/>
        </w:rPr>
        <w:t>压强指示：</w:t>
      </w:r>
      <w:r>
        <w:rPr>
          <w:rFonts w:hint="eastAsia" w:hAnsi="楷体"/>
          <w:sz w:val="24"/>
        </w:rPr>
        <w:t>治疗仪具有压强指示，以指示当前治疗程序下治疗仪在气囊内产生的治疗压强；</w:t>
      </w:r>
    </w:p>
    <w:p>
      <w:pPr>
        <w:numPr>
          <w:ilvl w:val="0"/>
          <w:numId w:val="3"/>
        </w:numPr>
        <w:spacing w:line="360" w:lineRule="auto"/>
        <w:rPr>
          <w:rStyle w:val="17"/>
          <w:rFonts w:hint="default"/>
        </w:rPr>
      </w:pPr>
      <w:r>
        <w:rPr>
          <w:rFonts w:hint="eastAsia"/>
          <w:sz w:val="24"/>
          <w:szCs w:val="24"/>
        </w:rPr>
        <w:t>压强调节：</w:t>
      </w:r>
      <w:r>
        <w:rPr>
          <w:rStyle w:val="17"/>
          <w:rFonts w:hint="default"/>
        </w:rPr>
        <w:t>气囊压强调节范围0～200mmHg，设定调整步长为5mmHg；</w:t>
      </w:r>
    </w:p>
    <w:p>
      <w:pPr>
        <w:numPr>
          <w:ilvl w:val="0"/>
          <w:numId w:val="3"/>
        </w:numPr>
        <w:spacing w:line="360" w:lineRule="auto"/>
        <w:rPr>
          <w:sz w:val="24"/>
          <w:szCs w:val="24"/>
        </w:rPr>
      </w:pPr>
      <w:r>
        <w:rPr>
          <w:rFonts w:hint="eastAsia" w:ascii="宋体" w:hAnsi="宋体" w:cs="宋体"/>
          <w:color w:val="000000"/>
          <w:sz w:val="24"/>
        </w:rPr>
        <w:t>极限压强</w:t>
      </w:r>
      <w:r>
        <w:rPr>
          <w:rFonts w:hint="eastAsia" w:cs="Times New Roman" w:asciiTheme="minorEastAsia" w:hAnsiTheme="minorEastAsia"/>
          <w:color w:val="000000" w:themeColor="text1"/>
          <w:sz w:val="24"/>
          <w:szCs w:val="28"/>
          <w14:textFill>
            <w14:solidFill>
              <w14:schemeClr w14:val="tx1"/>
            </w14:solidFill>
          </w14:textFill>
        </w:rPr>
        <w:t>≤</w:t>
      </w:r>
      <w:r>
        <w:rPr>
          <w:rFonts w:hint="eastAsia" w:ascii="宋体" w:hAnsi="宋体" w:cs="宋体"/>
          <w:color w:val="000000"/>
          <w:sz w:val="24"/>
        </w:rPr>
        <w:t>300mmHg，且超过15mmHg的持续时间</w:t>
      </w:r>
      <w:r>
        <w:rPr>
          <w:rFonts w:hint="eastAsia"/>
          <w:sz w:val="24"/>
          <w:szCs w:val="24"/>
        </w:rPr>
        <w:t>≤</w:t>
      </w:r>
      <w:r>
        <w:rPr>
          <w:rFonts w:hint="eastAsia" w:ascii="宋体" w:hAnsi="宋体" w:cs="宋体"/>
          <w:color w:val="000000"/>
          <w:sz w:val="24"/>
        </w:rPr>
        <w:t>3 min；</w:t>
      </w:r>
    </w:p>
    <w:p>
      <w:pPr>
        <w:numPr>
          <w:ilvl w:val="0"/>
          <w:numId w:val="3"/>
        </w:numPr>
        <w:spacing w:line="360" w:lineRule="auto"/>
        <w:rPr>
          <w:rFonts w:ascii="宋体" w:hAnsi="宋体" w:cs="宋体"/>
          <w:color w:val="000000"/>
          <w:sz w:val="24"/>
        </w:rPr>
      </w:pPr>
      <w:r>
        <w:rPr>
          <w:rFonts w:hint="eastAsia"/>
          <w:sz w:val="24"/>
          <w:szCs w:val="24"/>
        </w:rPr>
        <w:t>过压保护：</w:t>
      </w:r>
      <w:r>
        <w:rPr>
          <w:rFonts w:hint="eastAsia" w:ascii="宋体" w:hAnsi="宋体" w:cs="宋体"/>
          <w:kern w:val="0"/>
          <w:sz w:val="24"/>
        </w:rPr>
        <w:t>治疗仪应具有过压保护措施；</w:t>
      </w:r>
    </w:p>
    <w:p>
      <w:pPr>
        <w:numPr>
          <w:ilvl w:val="0"/>
          <w:numId w:val="3"/>
        </w:numPr>
        <w:spacing w:line="360" w:lineRule="auto"/>
        <w:rPr>
          <w:rFonts w:ascii="宋体" w:hAnsi="宋体" w:cs="宋体"/>
          <w:kern w:val="0"/>
          <w:sz w:val="24"/>
        </w:rPr>
      </w:pPr>
      <w:r>
        <w:rPr>
          <w:rFonts w:hint="eastAsia"/>
          <w:sz w:val="24"/>
          <w:szCs w:val="24"/>
        </w:rPr>
        <w:t>功能开关 ：</w:t>
      </w:r>
      <w:r>
        <w:rPr>
          <w:rFonts w:hint="eastAsia" w:ascii="宋体" w:hAnsi="宋体" w:cs="宋体"/>
          <w:kern w:val="0"/>
          <w:sz w:val="24"/>
        </w:rPr>
        <w:t>治疗仪提供电源开关之外的功能开关，可随时中止治疗程序；</w:t>
      </w:r>
    </w:p>
    <w:p>
      <w:pPr>
        <w:numPr>
          <w:ilvl w:val="0"/>
          <w:numId w:val="3"/>
        </w:numPr>
        <w:spacing w:line="360" w:lineRule="auto"/>
        <w:rPr>
          <w:rFonts w:cs="Times New Roman" w:asciiTheme="minorEastAsia" w:hAnsiTheme="minorEastAsia"/>
          <w:color w:val="000000" w:themeColor="text1"/>
          <w:sz w:val="24"/>
          <w:szCs w:val="28"/>
          <w14:textFill>
            <w14:solidFill>
              <w14:schemeClr w14:val="tx1"/>
            </w14:solidFill>
          </w14:textFill>
        </w:rPr>
      </w:pPr>
      <w:r>
        <w:rPr>
          <w:rFonts w:hint="eastAsia"/>
          <w:sz w:val="24"/>
          <w:szCs w:val="24"/>
        </w:rPr>
        <w:t>手动释压</w:t>
      </w:r>
      <w:r>
        <w:rPr>
          <w:rFonts w:hint="eastAsia" w:cs="Times New Roman" w:asciiTheme="minorEastAsia" w:hAnsiTheme="minorEastAsia"/>
          <w:color w:val="000000" w:themeColor="text1"/>
          <w:sz w:val="24"/>
          <w:szCs w:val="28"/>
          <w14:textFill>
            <w14:solidFill>
              <w14:schemeClr w14:val="tx1"/>
            </w14:solidFill>
          </w14:textFill>
        </w:rPr>
        <w:t>：治疗仪应提供在各种状态下手动解除患者压强的措施；</w:t>
      </w:r>
    </w:p>
    <w:p>
      <w:pPr>
        <w:numPr>
          <w:ilvl w:val="0"/>
          <w:numId w:val="3"/>
        </w:numPr>
        <w:spacing w:line="360" w:lineRule="auto"/>
        <w:rPr>
          <w:sz w:val="24"/>
          <w:szCs w:val="24"/>
        </w:rPr>
      </w:pPr>
      <w:r>
        <w:rPr>
          <w:rFonts w:hint="eastAsia"/>
          <w:sz w:val="24"/>
          <w:szCs w:val="24"/>
        </w:rPr>
        <w:t>气密性：</w:t>
      </w:r>
      <w:r>
        <w:rPr>
          <w:rFonts w:hint="eastAsia" w:ascii="宋体" w:hAnsi="宋体" w:cs="宋体"/>
          <w:color w:val="000000"/>
          <w:kern w:val="0"/>
          <w:sz w:val="24"/>
        </w:rPr>
        <w:t>气囊和连接管路应有良好的气密性，在最大输出压强下保持1min，压</w:t>
      </w:r>
      <w:r>
        <w:rPr>
          <w:rFonts w:hint="eastAsia" w:ascii="宋体" w:hAnsi="宋体" w:cs="宋体"/>
          <w:color w:val="000000"/>
        </w:rPr>
        <w:t>降</w:t>
      </w:r>
      <w:r>
        <w:rPr>
          <w:rFonts w:hint="eastAsia"/>
          <w:sz w:val="24"/>
          <w:szCs w:val="24"/>
        </w:rPr>
        <w:t>≤</w:t>
      </w:r>
      <w:r>
        <w:rPr>
          <w:rFonts w:hint="eastAsia" w:ascii="宋体" w:hAnsi="宋体" w:cs="宋体"/>
          <w:color w:val="000000"/>
          <w:kern w:val="0"/>
          <w:sz w:val="24"/>
        </w:rPr>
        <w:t>10%；</w:t>
      </w:r>
    </w:p>
    <w:p>
      <w:pPr>
        <w:numPr>
          <w:ilvl w:val="0"/>
          <w:numId w:val="3"/>
        </w:numPr>
        <w:rPr>
          <w:rFonts w:ascii="宋体" w:hAnsi="宋体" w:cs="宋体"/>
          <w:kern w:val="0"/>
          <w:sz w:val="24"/>
        </w:rPr>
      </w:pPr>
      <w:r>
        <w:rPr>
          <w:rFonts w:hint="eastAsia" w:cs="Times New Roman" w:asciiTheme="minorEastAsia" w:hAnsiTheme="minorEastAsia"/>
          <w:color w:val="000000" w:themeColor="text1"/>
          <w:sz w:val="24"/>
          <w:szCs w:val="28"/>
          <w14:textFill>
            <w14:solidFill>
              <w14:schemeClr w14:val="tx1"/>
            </w14:solidFill>
          </w14:textFill>
        </w:rPr>
        <w:t>连接：连接管路应有防止接错的装置或标识；</w:t>
      </w:r>
    </w:p>
    <w:p>
      <w:pPr>
        <w:numPr>
          <w:ilvl w:val="0"/>
          <w:numId w:val="3"/>
        </w:numPr>
        <w:spacing w:line="360" w:lineRule="auto"/>
        <w:rPr>
          <w:rFonts w:ascii="宋体" w:hAnsi="宋体" w:cs="宋体"/>
          <w:kern w:val="0"/>
          <w:sz w:val="24"/>
        </w:rPr>
      </w:pPr>
      <w:r>
        <w:rPr>
          <w:rFonts w:hint="eastAsia"/>
          <w:sz w:val="24"/>
          <w:szCs w:val="24"/>
        </w:rPr>
        <w:t>工作噪声：</w:t>
      </w:r>
      <w:r>
        <w:rPr>
          <w:rFonts w:hint="eastAsia" w:ascii="宋体" w:hAnsi="宋体" w:cs="宋体"/>
          <w:kern w:val="0"/>
          <w:sz w:val="24"/>
        </w:rPr>
        <w:t>治疗仪正常工作时的噪声应</w:t>
      </w:r>
      <w:r>
        <w:rPr>
          <w:rFonts w:hint="eastAsia"/>
          <w:sz w:val="24"/>
          <w:szCs w:val="24"/>
        </w:rPr>
        <w:t>≤</w:t>
      </w:r>
      <w:r>
        <w:rPr>
          <w:rFonts w:hint="eastAsia" w:ascii="宋体" w:hAnsi="宋体" w:cs="宋体"/>
          <w:kern w:val="0"/>
          <w:sz w:val="24"/>
        </w:rPr>
        <w:t>45dB。</w:t>
      </w:r>
    </w:p>
    <w:p>
      <w:pPr>
        <w:spacing w:line="360" w:lineRule="auto"/>
        <w:ind w:firstLine="480" w:firstLineChars="200"/>
        <w:rPr>
          <w:rFonts w:ascii="宋体" w:hAnsi="宋体" w:eastAsia="宋体" w:cs="宋体"/>
          <w:kern w:val="0"/>
          <w:sz w:val="24"/>
        </w:rPr>
      </w:pPr>
      <w:r>
        <w:rPr>
          <w:rFonts w:hint="eastAsia" w:ascii="宋体" w:hAnsi="宋体" w:eastAsia="宋体" w:cs="宋体"/>
          <w:color w:val="000000"/>
          <w:sz w:val="24"/>
          <w:szCs w:val="28"/>
        </w:rPr>
        <w:t>14.</w:t>
      </w:r>
      <w:r>
        <w:rPr>
          <w:rFonts w:hint="eastAsia" w:ascii="宋体" w:hAnsi="宋体" w:cs="宋体"/>
          <w:kern w:val="0"/>
          <w:sz w:val="24"/>
        </w:rPr>
        <w:t>本产品取得计算机软件著作权。</w:t>
      </w:r>
      <w:r>
        <w:rPr>
          <w:rFonts w:ascii="宋体" w:hAnsi="宋体" w:eastAsia="宋体" w:cs="宋体"/>
          <w:sz w:val="24"/>
          <w:szCs w:val="24"/>
        </w:rPr>
        <w:t>（可提供</w:t>
      </w:r>
      <w:r>
        <w:rPr>
          <w:rFonts w:hint="eastAsia" w:ascii="宋体" w:hAnsi="宋体" w:eastAsia="宋体" w:cs="宋体"/>
          <w:sz w:val="24"/>
          <w:szCs w:val="24"/>
        </w:rPr>
        <w:t>相关</w:t>
      </w:r>
      <w:r>
        <w:rPr>
          <w:rFonts w:ascii="宋体" w:hAnsi="宋体" w:eastAsia="宋体" w:cs="宋体"/>
          <w:sz w:val="24"/>
          <w:szCs w:val="24"/>
        </w:rPr>
        <w:t>证书）</w:t>
      </w:r>
    </w:p>
    <w:p>
      <w:pPr>
        <w:pStyle w:val="2"/>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ind w:firstLine="482" w:firstLineChars="200"/>
        <w:textAlignment w:val="baseline"/>
        <w:rPr>
          <w:rFonts w:hint="eastAsia" w:asciiTheme="minorEastAsia" w:hAnsiTheme="minorEastAsia" w:eastAsiaTheme="minorEastAsia" w:cstheme="minorEastAsia"/>
          <w:b/>
          <w:bCs w:val="0"/>
          <w:color w:val="auto"/>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商务参数：</w:t>
      </w:r>
    </w:p>
    <w:p>
      <w:pPr>
        <w:keepNext w:val="0"/>
        <w:keepLines w:val="0"/>
        <w:pageBreakBefore w:val="0"/>
        <w:kinsoku/>
        <w:wordWrap/>
        <w:overflowPunct/>
        <w:topLinePunct w:val="0"/>
        <w:autoSpaceDE/>
        <w:autoSpaceDN/>
        <w:bidi w:val="0"/>
        <w:adjustRightInd/>
        <w:snapToGrid/>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1、运输、装卸、培训、安装调试：由中标人负责承担，最终通过使用科室、设备科及相关部门确认验收交付使用。</w:t>
      </w:r>
      <w:r>
        <w:rPr>
          <w:rFonts w:hint="eastAsia" w:ascii="宋体" w:hAnsi="宋体" w:eastAsia="宋体" w:cs="宋体"/>
          <w:color w:val="auto"/>
          <w:sz w:val="24"/>
          <w:szCs w:val="24"/>
        </w:rPr>
        <w:cr/>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2、交货时间：按</w:t>
      </w:r>
      <w:r>
        <w:rPr>
          <w:rFonts w:hint="eastAsia" w:ascii="宋体" w:hAnsi="宋体" w:cs="宋体"/>
          <w:color w:val="auto"/>
          <w:sz w:val="24"/>
          <w:szCs w:val="24"/>
          <w:lang w:val="en-US" w:eastAsia="zh-CN"/>
        </w:rPr>
        <w:t>合同约定的日期交货。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、交货地点：娄底市中心医院</w:t>
      </w:r>
      <w:r>
        <w:rPr>
          <w:rFonts w:hint="eastAsia" w:ascii="宋体" w:hAnsi="宋体" w:cs="宋体"/>
          <w:color w:val="auto"/>
          <w:sz w:val="24"/>
          <w:szCs w:val="24"/>
          <w:lang w:val="en-US" w:eastAsia="zh-CN"/>
        </w:rPr>
        <w:t>指定地点</w:t>
      </w:r>
      <w:r>
        <w:rPr>
          <w:rFonts w:hint="eastAsia" w:ascii="宋体" w:hAnsi="宋体" w:eastAsia="宋体" w:cs="宋体"/>
          <w:color w:val="auto"/>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、付款方式：设备验收合格后，供应商将发票交到娄底市中心医院后按程序支付货款90%（按医院财务制度一般情况下4个月内支付、特殊情况下最多不超过6个月），甲方在设备验收合格</w:t>
      </w:r>
      <w:r>
        <w:rPr>
          <w:rFonts w:hint="eastAsia" w:ascii="宋体" w:hAnsi="宋体" w:eastAsia="宋体" w:cs="宋体"/>
          <w:color w:val="auto"/>
          <w:sz w:val="24"/>
          <w:szCs w:val="24"/>
          <w:lang w:val="en-US" w:eastAsia="zh-CN"/>
        </w:rPr>
        <w:t>满</w:t>
      </w:r>
      <w:r>
        <w:rPr>
          <w:rFonts w:hint="eastAsia" w:ascii="宋体" w:hAnsi="宋体" w:cs="宋体"/>
          <w:color w:val="auto"/>
          <w:sz w:val="24"/>
          <w:szCs w:val="24"/>
          <w:u w:val="none"/>
          <w:lang w:val="en-US" w:eastAsia="zh-CN"/>
        </w:rPr>
        <w:t>1年</w:t>
      </w:r>
      <w:r>
        <w:rPr>
          <w:rFonts w:hint="eastAsia" w:ascii="宋体" w:hAnsi="宋体" w:eastAsia="宋体" w:cs="宋体"/>
          <w:color w:val="auto"/>
          <w:sz w:val="24"/>
          <w:szCs w:val="24"/>
        </w:rPr>
        <w:t>后支付10%余款给乙方。</w:t>
      </w:r>
      <w:r>
        <w:rPr>
          <w:rFonts w:hint="eastAsia" w:ascii="宋体" w:hAnsi="宋体" w:eastAsia="宋体" w:cs="宋体"/>
          <w:color w:val="auto"/>
          <w:sz w:val="24"/>
          <w:szCs w:val="24"/>
        </w:rPr>
        <w:cr/>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5、质保与售后：整机保修</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年，终身维修。</w:t>
      </w:r>
      <w:r>
        <w:rPr>
          <w:rFonts w:hint="eastAsia" w:ascii="宋体" w:hAnsi="宋体" w:cs="宋体"/>
          <w:color w:val="auto"/>
          <w:sz w:val="24"/>
          <w:szCs w:val="24"/>
          <w:lang w:val="en-US" w:eastAsia="zh-CN"/>
        </w:rPr>
        <w:t>验收时</w:t>
      </w:r>
      <w:r>
        <w:rPr>
          <w:rFonts w:hint="eastAsia" w:ascii="宋体" w:hAnsi="宋体" w:eastAsia="宋体" w:cs="宋体"/>
          <w:color w:val="auto"/>
          <w:sz w:val="24"/>
          <w:szCs w:val="24"/>
        </w:rPr>
        <w:t>出具原厂售后质保承诺书，质保期内每年巡检</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次</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并提交巡检记录</w:t>
      </w:r>
      <w:r>
        <w:rPr>
          <w:rFonts w:hint="eastAsia" w:ascii="宋体" w:hAnsi="宋体" w:eastAsia="宋体" w:cs="宋体"/>
          <w:color w:val="auto"/>
          <w:sz w:val="24"/>
          <w:szCs w:val="24"/>
        </w:rPr>
        <w:t>。</w:t>
      </w:r>
      <w:r>
        <w:rPr>
          <w:rFonts w:hint="eastAsia" w:ascii="宋体" w:hAnsi="宋体" w:eastAsia="宋体" w:cs="宋体"/>
          <w:color w:val="auto"/>
          <w:sz w:val="24"/>
          <w:szCs w:val="24"/>
          <w:lang w:val="zh-CN" w:eastAsia="zh-CN"/>
        </w:rPr>
        <w:t>质保期内</w:t>
      </w:r>
      <w:r>
        <w:rPr>
          <w:rFonts w:hint="eastAsia" w:ascii="宋体" w:hAnsi="宋体" w:cs="宋体"/>
          <w:color w:val="auto"/>
          <w:sz w:val="24"/>
          <w:szCs w:val="24"/>
          <w:lang w:val="en-US" w:eastAsia="zh-CN"/>
        </w:rPr>
        <w:t>出现故障</w:t>
      </w:r>
      <w:r>
        <w:rPr>
          <w:rFonts w:hint="eastAsia" w:ascii="宋体" w:hAnsi="宋体" w:eastAsia="宋体" w:cs="宋体"/>
          <w:color w:val="auto"/>
          <w:sz w:val="24"/>
          <w:szCs w:val="24"/>
          <w:lang w:val="en-US" w:eastAsia="zh-CN"/>
        </w:rPr>
        <w:t>，24小时响应，响应后4小时上门服务</w:t>
      </w:r>
      <w:r>
        <w:rPr>
          <w:rFonts w:hint="eastAsia" w:ascii="宋体" w:hAnsi="宋体" w:cs="宋体"/>
          <w:color w:val="auto"/>
          <w:sz w:val="24"/>
          <w:szCs w:val="24"/>
          <w:lang w:val="en-US"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6、在投标文件中必须提供相关佐证资料（加盖原厂公章的技术参数、技术白皮书、说明书、彩页），并在响应表中备注该条参数响应或正偏离的佐证资料所在页码。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pPr>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四、合同</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                                                              合同编号：</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lang w:val="en-US" w:eastAsia="zh-CN"/>
        </w:rPr>
      </w:pPr>
      <w:r>
        <w:rPr>
          <w:rFonts w:hint="eastAsia" w:ascii="黑体" w:hAnsi="黑体" w:eastAsia="黑体" w:cs="黑体"/>
          <w:color w:val="auto"/>
          <w:sz w:val="44"/>
          <w:szCs w:val="44"/>
          <w:lang w:val="en-US" w:eastAsia="zh-CN"/>
        </w:rPr>
        <w:t>医疗设备采购合同</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甲方（采购方）：</w:t>
      </w:r>
      <w:r>
        <w:rPr>
          <w:rFonts w:hint="eastAsia" w:ascii="宋体" w:hAnsi="宋体" w:eastAsia="宋体" w:cs="宋体"/>
          <w:color w:val="auto"/>
          <w:sz w:val="24"/>
          <w:szCs w:val="24"/>
          <w:lang w:val="en-US" w:eastAsia="zh-CN"/>
        </w:rPr>
        <w:t>娄底市中心医院</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统一社会信用代码：12431300447162073W</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乙方（供货方）：</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法定代表人：</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统一社会信用代码：</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甲方通过</w:t>
      </w:r>
      <w:r>
        <w:rPr>
          <w:rFonts w:hint="eastAsia" w:ascii="宋体" w:hAnsi="宋体" w:eastAsia="宋体" w:cs="宋体"/>
          <w:color w:val="auto"/>
          <w:sz w:val="24"/>
          <w:szCs w:val="24"/>
          <w:u w:val="single"/>
          <w:lang w:val="en-US" w:eastAsia="zh-CN"/>
        </w:rPr>
        <w:t xml:space="preserve"> 医院公开挂网</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空气波压力治疗仪</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，乙方为成交供应商。根据《中华人民共和国民法典》《中华人民共和国政府采购法》等相关法律规定，甲乙双方在采购项目确定的基础上，就采购</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空气波压力治疗仪</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事宜平等、自愿、公平、诚信协商，达成一致，特订立本合同，以资共同遵守。</w:t>
      </w:r>
    </w:p>
    <w:p>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采购内容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 设备名称、品牌、型号、价格</w:t>
      </w:r>
    </w:p>
    <w:tbl>
      <w:tblPr>
        <w:tblStyle w:val="9"/>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设备</w:t>
            </w:r>
            <w:r>
              <w:rPr>
                <w:rFonts w:hint="eastAsia" w:ascii="宋体" w:hAnsi="宋体" w:eastAsia="宋体" w:cs="宋体"/>
                <w:color w:val="000000" w:themeColor="text1"/>
                <w:kern w:val="0"/>
                <w:sz w:val="24"/>
                <w:szCs w:val="24"/>
                <w14:textFill>
                  <w14:solidFill>
                    <w14:schemeClr w14:val="tx1"/>
                  </w14:solidFill>
                </w14:textFill>
              </w:rPr>
              <w:t>名称</w:t>
            </w:r>
          </w:p>
        </w:tc>
        <w:tc>
          <w:tcPr>
            <w:tcW w:w="122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品牌</w:t>
            </w:r>
          </w:p>
        </w:tc>
        <w:tc>
          <w:tcPr>
            <w:tcW w:w="176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型号</w:t>
            </w:r>
          </w:p>
        </w:tc>
        <w:tc>
          <w:tcPr>
            <w:tcW w:w="132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单价（元）</w:t>
            </w:r>
          </w:p>
        </w:tc>
        <w:tc>
          <w:tcPr>
            <w:tcW w:w="94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数量</w:t>
            </w:r>
          </w:p>
        </w:tc>
        <w:tc>
          <w:tcPr>
            <w:tcW w:w="1654"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cs="宋体"/>
                <w:color w:val="000000" w:themeColor="text1"/>
                <w:kern w:val="0"/>
                <w:sz w:val="24"/>
                <w:szCs w:val="24"/>
                <w:lang w:val="en-US" w:eastAsia="zh-CN"/>
                <w14:textFill>
                  <w14:solidFill>
                    <w14:schemeClr w14:val="tx1"/>
                  </w14:solidFill>
                </w14:textFill>
              </w:rPr>
              <w:t>空气波压力治疗仪</w:t>
            </w:r>
          </w:p>
        </w:tc>
        <w:tc>
          <w:tcPr>
            <w:tcW w:w="1220"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p>
        </w:tc>
        <w:tc>
          <w:tcPr>
            <w:tcW w:w="176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p>
        </w:tc>
        <w:tc>
          <w:tcPr>
            <w:tcW w:w="132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p>
        </w:tc>
        <w:tc>
          <w:tcPr>
            <w:tcW w:w="940"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p>
        </w:tc>
        <w:tc>
          <w:tcPr>
            <w:tcW w:w="1654" w:type="dxa"/>
            <w:noWrap w:val="0"/>
            <w:vAlign w:val="top"/>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noWrap w:val="0"/>
            <w:vAlign w:val="top"/>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w:t>
            </w:r>
            <w:r>
              <w:rPr>
                <w:rFonts w:hint="eastAsia" w:ascii="宋体" w:hAnsi="宋体" w:eastAsia="宋体" w:cs="宋体"/>
                <w:color w:val="000000" w:themeColor="text1"/>
                <w:kern w:val="0"/>
                <w:sz w:val="24"/>
                <w:szCs w:val="24"/>
                <w:lang w:eastAsia="zh-CN"/>
                <w14:textFill>
                  <w14:solidFill>
                    <w14:schemeClr w14:val="tx1"/>
                  </w14:solidFill>
                </w14:textFill>
              </w:rPr>
              <w:t>价款</w:t>
            </w:r>
            <w:r>
              <w:rPr>
                <w:rFonts w:hint="eastAsia" w:ascii="宋体" w:hAnsi="宋体" w:eastAsia="宋体" w:cs="宋体"/>
                <w:color w:val="000000" w:themeColor="text1"/>
                <w:kern w:val="0"/>
                <w:sz w:val="24"/>
                <w:szCs w:val="24"/>
                <w14:textFill>
                  <w14:solidFill>
                    <w14:schemeClr w14:val="tx1"/>
                  </w14:solidFill>
                </w14:textFill>
              </w:rPr>
              <w:t>金额（大写）：</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lang w:eastAsia="zh-CN"/>
                <w14:textFill>
                  <w14:solidFill>
                    <w14:schemeClr w14:val="tx1"/>
                  </w14:solidFill>
                </w14:textFill>
              </w:rPr>
              <w:t>元</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14:textFill>
                  <w14:solidFill>
                    <w14:schemeClr w14:val="tx1"/>
                  </w14:solidFill>
                </w14:textFill>
              </w:rPr>
              <w:t>人民币（小写）：</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lang w:val="en-US" w:eastAsia="zh-CN"/>
                <w14:textFill>
                  <w14:solidFill>
                    <w14:schemeClr w14:val="tx1"/>
                  </w14:solidFill>
                </w14:textFill>
              </w:rPr>
              <w:t>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 本合同约定价格为固定价格，不因物价、市场波动变更。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1.3 本合同约定价格包括且不限于设计费、材料费、人工费、安装费、包装费、运输费、装卸费、调试费、检测、检验费、税费、保险费、售后服务费等在内所有费用。 </w:t>
      </w:r>
    </w:p>
    <w:p>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auto"/>
          <w:sz w:val="24"/>
          <w:szCs w:val="24"/>
          <w:lang w:val="en-US" w:eastAsia="zh-CN"/>
        </w:rPr>
      </w:pPr>
      <w:r>
        <w:rPr>
          <w:rFonts w:hint="default" w:ascii="宋体" w:hAnsi="宋体" w:eastAsia="宋体" w:cs="宋体"/>
          <w:b/>
          <w:bCs/>
          <w:color w:val="auto"/>
          <w:sz w:val="24"/>
          <w:szCs w:val="24"/>
          <w:lang w:val="en-US" w:eastAsia="zh-CN"/>
        </w:rPr>
        <w:t>交货时间、地点、运输及装卸</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2.1 </w:t>
      </w:r>
      <w:r>
        <w:rPr>
          <w:rFonts w:hint="default" w:ascii="宋体" w:hAnsi="宋体" w:eastAsia="宋体" w:cs="宋体"/>
          <w:color w:val="auto"/>
          <w:sz w:val="24"/>
          <w:szCs w:val="24"/>
          <w:lang w:val="en-US" w:eastAsia="zh-CN"/>
        </w:rPr>
        <w:t>交货时间：乙方应在</w:t>
      </w:r>
      <w:r>
        <w:rPr>
          <w:rFonts w:hint="default"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年</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月</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日之前将设备运至</w:t>
      </w:r>
      <w:r>
        <w:rPr>
          <w:rFonts w:hint="eastAsia" w:ascii="宋体" w:hAnsi="宋体" w:eastAsia="宋体" w:cs="宋体"/>
          <w:color w:val="auto"/>
          <w:sz w:val="24"/>
          <w:szCs w:val="24"/>
          <w:lang w:val="en-US" w:eastAsia="zh-CN"/>
        </w:rPr>
        <w:t>甲方指定交货</w:t>
      </w:r>
      <w:r>
        <w:rPr>
          <w:rFonts w:hint="default" w:ascii="宋体" w:hAnsi="宋体" w:eastAsia="宋体" w:cs="宋体"/>
          <w:color w:val="auto"/>
          <w:sz w:val="24"/>
          <w:szCs w:val="24"/>
          <w:lang w:val="en-US" w:eastAsia="zh-CN"/>
        </w:rPr>
        <w:t>地点，并</w:t>
      </w:r>
      <w:r>
        <w:rPr>
          <w:rFonts w:hint="eastAsia" w:ascii="宋体" w:hAnsi="宋体" w:eastAsia="宋体" w:cs="宋体"/>
          <w:color w:val="auto"/>
          <w:sz w:val="24"/>
          <w:szCs w:val="24"/>
          <w:lang w:val="en-US" w:eastAsia="zh-CN"/>
        </w:rPr>
        <w:t>在</w:t>
      </w:r>
      <w:r>
        <w:rPr>
          <w:rFonts w:hint="default"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年</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月</w:t>
      </w:r>
      <w:r>
        <w:rPr>
          <w:rFonts w:hint="eastAsia" w:ascii="宋体" w:hAnsi="宋体" w:eastAsia="宋体" w:cs="宋体"/>
          <w:color w:val="auto"/>
          <w:sz w:val="24"/>
          <w:szCs w:val="24"/>
          <w:u w:val="single"/>
          <w:lang w:val="en-US" w:eastAsia="zh-CN"/>
        </w:rPr>
        <w:t xml:space="preserve">    </w:t>
      </w:r>
      <w:r>
        <w:rPr>
          <w:rFonts w:hint="default" w:ascii="宋体" w:hAnsi="宋体" w:eastAsia="宋体" w:cs="宋体"/>
          <w:color w:val="auto"/>
          <w:sz w:val="24"/>
          <w:szCs w:val="24"/>
          <w:lang w:val="en-US" w:eastAsia="zh-CN"/>
        </w:rPr>
        <w:t>日之前完成安装、调试，办理验收手续并交付甲方使用。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CN"/>
        </w:rPr>
        <w:t>.2 甲方指定</w:t>
      </w:r>
      <w:r>
        <w:rPr>
          <w:rFonts w:hint="default" w:ascii="宋体" w:hAnsi="宋体" w:eastAsia="宋体" w:cs="宋体"/>
          <w:color w:val="auto"/>
          <w:sz w:val="24"/>
          <w:szCs w:val="24"/>
          <w:lang w:val="en-US" w:eastAsia="zh-CN"/>
        </w:rPr>
        <w:t>交货地点：娄底市中心医院</w:t>
      </w:r>
      <w:r>
        <w:rPr>
          <w:rFonts w:hint="eastAsia" w:ascii="宋体" w:hAnsi="宋体" w:eastAsia="宋体" w:cs="宋体"/>
          <w:color w:val="auto"/>
          <w:sz w:val="24"/>
          <w:szCs w:val="24"/>
          <w:lang w:val="en-US" w:eastAsia="zh-CN"/>
        </w:rPr>
        <w:t>设备科</w:t>
      </w:r>
      <w:r>
        <w:rPr>
          <w:rFonts w:hint="default" w:ascii="宋体" w:hAnsi="宋体" w:eastAsia="宋体" w:cs="宋体"/>
          <w:color w:val="auto"/>
          <w:sz w:val="24"/>
          <w:szCs w:val="24"/>
          <w:lang w:val="en-US" w:eastAsia="zh-CN"/>
        </w:rPr>
        <w:t>（湖南省娄底市</w:t>
      </w:r>
      <w:r>
        <w:rPr>
          <w:rFonts w:hint="eastAsia" w:ascii="宋体" w:hAnsi="宋体" w:eastAsia="宋体" w:cs="宋体"/>
          <w:color w:val="auto"/>
          <w:sz w:val="24"/>
          <w:szCs w:val="24"/>
          <w:lang w:val="en-US" w:eastAsia="zh-CN"/>
        </w:rPr>
        <w:t>娄星区</w:t>
      </w:r>
      <w:r>
        <w:rPr>
          <w:rFonts w:hint="default" w:ascii="宋体" w:hAnsi="宋体" w:eastAsia="宋体" w:cs="宋体"/>
          <w:color w:val="auto"/>
          <w:sz w:val="24"/>
          <w:szCs w:val="24"/>
          <w:lang w:val="en-US" w:eastAsia="zh-CN"/>
        </w:rPr>
        <w:t xml:space="preserve">长青中街51号）。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default"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运输及装卸：由乙方自备交通运输工具将设备运至合同约定地点，并负责设备装卸</w:t>
      </w:r>
      <w:r>
        <w:rPr>
          <w:rFonts w:hint="eastAsia" w:ascii="宋体" w:hAnsi="宋体" w:eastAsia="宋体" w:cs="宋体"/>
          <w:color w:val="auto"/>
          <w:sz w:val="24"/>
          <w:szCs w:val="24"/>
          <w:lang w:val="en-US" w:eastAsia="zh-CN"/>
        </w:rPr>
        <w:t>的人工及费用</w:t>
      </w:r>
      <w:r>
        <w:rPr>
          <w:rFonts w:hint="default" w:ascii="宋体" w:hAnsi="宋体" w:eastAsia="宋体" w:cs="宋体"/>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000000" w:themeColor="text1"/>
          <w:sz w:val="24"/>
          <w:szCs w:val="24"/>
          <w:lang w:val="en-US" w:eastAsia="zh-CN"/>
          <w14:textFill>
            <w14:solidFill>
              <w14:schemeClr w14:val="tx1"/>
            </w14:solidFill>
          </w14:textFill>
        </w:rPr>
        <w:t>第三条 质量标准、质量验收、包装要求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3.1 质量标准：乙方提供设备的质量、安装应符合或优于国家标准；</w:t>
      </w:r>
      <w:r>
        <w:rPr>
          <w:rFonts w:hint="eastAsia" w:ascii="宋体" w:hAnsi="宋体" w:eastAsia="宋体" w:cs="宋体"/>
          <w:color w:val="000000" w:themeColor="text1"/>
          <w:sz w:val="24"/>
          <w:szCs w:val="24"/>
          <w:lang w:val="en-US" w:eastAsia="zh-CN"/>
          <w14:textFill>
            <w14:solidFill>
              <w14:schemeClr w14:val="tx1"/>
            </w14:solidFill>
          </w14:textFill>
        </w:rPr>
        <w:t>如响应文件中的技术参数和质量标准高于国家标准，则设备的技术参数和质量标准以响应文件为准。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3.2 质量验收：以本合同约定标准按以下方式进行验收：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3.2.1 到货验收：乙方将设备运至指定交货地点后，应通知甲方，并向甲方提供厂家标准资料文件（进口设备需提供真实有效的海关报关单，其他设备需提供产品合格证）和原厂售后质保承诺书。甲方自接到乙方通知之日起7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lang w:val="en-US" w:eastAsia="zh-CN"/>
        </w:rPr>
        <w:t>日内无条件予以更换。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3.2.2 拆包、安装、调试、培训验收：乙方将设备全部拆包、安装、调试、培训后应及时通知甲方，甲方自接到乙方通知之日起7日内自行组织或委托第三方进行总体验收，验收合格后签署总体验收报告单。如经甲方或第三方验收不合格，乙方应在</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lang w:val="en-US" w:eastAsia="zh-CN"/>
        </w:rPr>
        <w:t>日内无条件予以返工并承担所有费用。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 包装要求：乙方提供的设备必须为原厂包装，外包装到货时应保证完好无损，否则甲方有权拒绝收货，由此造成的延期交货违约责任和一切经济损失全部由乙方承担。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第四条 安装、培训、通知等事项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4.1 甲方负责协调、处理与安装、调试有关事宜，为乙方创造良好的安装、调试环境。</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4.2 甲方委派</w:t>
      </w:r>
      <w:r>
        <w:rPr>
          <w:rFonts w:hint="eastAsia" w:ascii="宋体" w:hAnsi="宋体" w:eastAsia="宋体" w:cs="宋体"/>
          <w:color w:val="auto"/>
          <w:sz w:val="24"/>
          <w:szCs w:val="24"/>
          <w:u w:val="single"/>
          <w:lang w:val="en-US" w:eastAsia="zh-CN"/>
        </w:rPr>
        <w:t xml:space="preserve">  杨娟  </w:t>
      </w:r>
      <w:r>
        <w:rPr>
          <w:rFonts w:hint="eastAsia" w:ascii="宋体" w:hAnsi="宋体" w:eastAsia="宋体" w:cs="宋体"/>
          <w:color w:val="auto"/>
          <w:sz w:val="24"/>
          <w:szCs w:val="24"/>
          <w:lang w:val="en-US" w:eastAsia="zh-CN"/>
        </w:rPr>
        <w:t>作为代表，跟踪、检查安装、调试现场。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4.3 乙方负责对甲方的操作人员进行免费培训。</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4.4 乙方在安装、调试过程中应加强操作人员的安全教育，杜绝安全事故的发生。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 本合同任何一方给另一方的通知，除合同另有约定外，都应以书面（包括手机短信、传真、特快专递、电子邮件、媒体公告等）形式发送，另一方应以书面形式确认。</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4.6 双方确认的文书（包括法院的法律文书）送达地址：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4.6.1 甲方的文书送达地址：娄底市中心医院（湖南省娄底市娄星区长青中街51号）；联系人：</w:t>
      </w:r>
      <w:r>
        <w:rPr>
          <w:rFonts w:hint="eastAsia" w:ascii="宋体" w:hAnsi="宋体" w:eastAsia="宋体" w:cs="宋体"/>
          <w:color w:val="auto"/>
          <w:sz w:val="24"/>
          <w:szCs w:val="24"/>
          <w:u w:val="single"/>
          <w:lang w:val="en-US" w:eastAsia="zh-CN"/>
        </w:rPr>
        <w:t>朱振宇</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15673845559 </w:t>
      </w: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lang w:val="en-US" w:eastAsia="zh-CN"/>
        </w:rPr>
        <w:t>4.6.2 乙方的文书送达地址</w:t>
      </w:r>
      <w:r>
        <w:rPr>
          <w:rFonts w:hint="eastAsia" w:ascii="宋体" w:hAnsi="宋体" w:eastAsia="宋体" w:cs="宋体"/>
          <w:color w:val="auto"/>
          <w:sz w:val="24"/>
          <w:szCs w:val="24"/>
          <w:u w:val="none"/>
          <w:lang w:val="en-US" w:eastAsia="zh-CN"/>
        </w:rPr>
        <w:t>：</w:t>
      </w:r>
      <w:r>
        <w:rPr>
          <w:rFonts w:hint="eastAsia" w:cs="宋体"/>
          <w:color w:val="000000"/>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4.6.3 以上地址和联系方式如发生变化，应及时通知对方。如未及时通知，应承担相应的后果。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第五条 售后服务</w:t>
      </w:r>
    </w:p>
    <w:p>
      <w:pPr>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5.1 本合同设</w:t>
      </w:r>
      <w:r>
        <w:rPr>
          <w:rFonts w:hint="eastAsia" w:ascii="宋体" w:hAnsi="宋体" w:eastAsia="宋体" w:cs="宋体"/>
          <w:color w:val="000000" w:themeColor="text1"/>
          <w:sz w:val="24"/>
          <w:szCs w:val="24"/>
          <w:lang w:val="en-US" w:eastAsia="zh-CN"/>
          <w14:textFill>
            <w14:solidFill>
              <w14:schemeClr w14:val="tx1"/>
            </w14:solidFill>
          </w14:textFill>
        </w:rPr>
        <w:t>备质保期为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壹</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年，自甲方在总体验收报告单上签字确认合格之日起算。</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5.2 </w:t>
      </w:r>
      <w:r>
        <w:rPr>
          <w:rFonts w:hint="eastAsia" w:ascii="宋体" w:hAnsi="宋体" w:eastAsia="宋体" w:cs="宋体"/>
          <w:color w:val="000000" w:themeColor="text1"/>
          <w:sz w:val="24"/>
          <w14:textFill>
            <w14:solidFill>
              <w14:schemeClr w14:val="tx1"/>
            </w14:solidFill>
          </w14:textFill>
        </w:rPr>
        <w:t>乙方在质保期内免费提供维修、更换、保养、咨询等服务。</w:t>
      </w:r>
      <w:r>
        <w:rPr>
          <w:rFonts w:hint="eastAsia" w:ascii="宋体" w:hAnsi="宋体" w:eastAsia="宋体" w:cs="宋体"/>
          <w:color w:val="000000" w:themeColor="text1"/>
          <w:sz w:val="24"/>
          <w:szCs w:val="24"/>
          <w:lang w:val="en-US" w:eastAsia="zh-CN"/>
          <w14:textFill>
            <w14:solidFill>
              <w14:schemeClr w14:val="tx1"/>
            </w14:solidFill>
          </w14:textFill>
        </w:rPr>
        <w:t>如设备在</w:t>
      </w:r>
      <w:r>
        <w:rPr>
          <w:rFonts w:hint="eastAsia" w:ascii="宋体" w:hAnsi="宋体" w:eastAsia="宋体" w:cs="宋体"/>
          <w:color w:val="000000" w:themeColor="text1"/>
          <w:sz w:val="24"/>
          <w14:textFill>
            <w14:solidFill>
              <w14:schemeClr w14:val="tx1"/>
            </w14:solidFill>
          </w14:textFill>
        </w:rPr>
        <w:t>质</w:t>
      </w:r>
      <w:r>
        <w:rPr>
          <w:rFonts w:hint="eastAsia" w:ascii="宋体" w:hAnsi="宋体" w:eastAsia="宋体" w:cs="宋体"/>
          <w:color w:val="000000" w:themeColor="text1"/>
          <w:sz w:val="24"/>
          <w:szCs w:val="24"/>
          <w:lang w:val="en-US" w:eastAsia="zh-CN"/>
          <w14:textFill>
            <w14:solidFill>
              <w14:schemeClr w14:val="tx1"/>
            </w14:solidFill>
          </w14:textFill>
        </w:rPr>
        <w:t>保期内出现质量问题，乙方应在接到甲方通知（包括电话通知）后24小时响应，响应后4小时上门服务，相关费用由乙方承担。如乙方不及时履行保修义务，甲方有权委托第三方进行维修，由此产生的相关费用，在支付价款中予以扣除或要求乙方支付对应货物价款。</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5.3 质保期内，乙方每年至少对设备进行一次巡检并向甲方提交巡检记录。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5.4 质保期届满后，如设备出现问题，乙方应在接到甲方通知（包括电话通知）后24小时响应，响应后4小时上门服务，相关费用由甲方承担。</w:t>
      </w:r>
    </w:p>
    <w:p>
      <w:pPr>
        <w:keepNext w:val="0"/>
        <w:keepLines w:val="0"/>
        <w:pageBreakBefore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auto"/>
          <w:sz w:val="24"/>
          <w:szCs w:val="24"/>
          <w:lang w:val="en-US" w:eastAsia="zh-CN"/>
        </w:rPr>
      </w:pPr>
      <w:r>
        <w:rPr>
          <w:rFonts w:hint="eastAsia" w:ascii="宋体" w:hAnsi="宋体" w:eastAsia="宋体" w:cs="宋体"/>
          <w:color w:val="auto"/>
          <w:sz w:val="24"/>
          <w:szCs w:val="24"/>
        </w:rPr>
        <w:t>5</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 xml:space="preserve">5 </w:t>
      </w:r>
      <w:r>
        <w:rPr>
          <w:rFonts w:hint="eastAsia" w:ascii="宋体" w:hAnsi="宋体" w:eastAsia="宋体" w:cs="宋体"/>
          <w:color w:val="auto"/>
          <w:sz w:val="24"/>
          <w:szCs w:val="24"/>
        </w:rPr>
        <w:t>乙方须指派</w:t>
      </w:r>
      <w:r>
        <w:rPr>
          <w:rFonts w:hint="eastAsia" w:ascii="宋体" w:hAnsi="宋体" w:eastAsia="宋体" w:cs="宋体"/>
          <w:color w:val="auto"/>
          <w:sz w:val="24"/>
          <w:szCs w:val="24"/>
          <w:u w:val="non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专门负责与甲方联系售后服务事宜，如人员发生变动，应及时通知甲方。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第六条 结算、付款方式</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6.1 甲方通过银行转账方式向乙方指定银行账户支付结算价款：自甲方在总体验收报告单上签字确</w:t>
      </w:r>
      <w:r>
        <w:rPr>
          <w:rFonts w:hint="eastAsia" w:ascii="宋体" w:hAnsi="宋体" w:eastAsia="宋体" w:cs="宋体"/>
          <w:color w:val="000000" w:themeColor="text1"/>
          <w:sz w:val="24"/>
          <w:szCs w:val="24"/>
          <w:lang w:val="en-US" w:eastAsia="zh-CN"/>
          <w14:textFill>
            <w14:solidFill>
              <w14:schemeClr w14:val="tx1"/>
            </w14:solidFill>
          </w14:textFill>
        </w:rPr>
        <w:t>认合格之日起4个月内，支付结算总价款的90%；自甲方在总体验收报告单上签字确认合格之日起满</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壹</w:t>
      </w:r>
      <w:bookmarkStart w:id="4" w:name="_GoBack"/>
      <w:bookmarkEnd w:id="4"/>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年的10个工作日内，免息支付结算总价款的10%。</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6.2 乙方应在甲方首次付款前，提供以自己名义开具的与结算总价款对应的增值税普通发票送交甲方，如因未及时提供发票导致逾期付款，乙方自行承担相应责任。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 乙方开具的发票金额应与总体验收报告单内容一致，甲方不支付超出总体验收报告单内容以外的任何费用。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6.4 乙方指定账户：</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val="en-US" w:eastAsia="zh-CN"/>
        </w:rPr>
        <w:t xml:space="preserve">开户名：  </w:t>
      </w:r>
      <w:r>
        <w:rPr>
          <w:rFonts w:hint="eastAsia" w:ascii="宋体" w:hAnsi="宋体" w:eastAsia="宋体" w:cs="宋体"/>
          <w:color w:val="auto"/>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sz w:val="24"/>
          <w:szCs w:val="24"/>
          <w:u w:val="none"/>
          <w:lang w:val="en-US" w:eastAsia="zh-CN"/>
        </w:rPr>
      </w:pPr>
      <w:r>
        <w:rPr>
          <w:rFonts w:hint="eastAsia" w:ascii="宋体" w:hAnsi="宋体" w:eastAsia="宋体" w:cs="宋体"/>
          <w:color w:val="auto"/>
          <w:sz w:val="24"/>
          <w:szCs w:val="24"/>
          <w:lang w:val="en-US" w:eastAsia="zh-CN"/>
        </w:rPr>
        <w:t>开户银行：</w:t>
      </w:r>
      <w:r>
        <w:rPr>
          <w:rFonts w:hint="eastAsia" w:ascii="宋体" w:hAnsi="宋体" w:eastAsia="宋体" w:cs="宋体"/>
          <w:color w:val="auto"/>
          <w:sz w:val="24"/>
          <w:szCs w:val="24"/>
          <w:u w:val="single"/>
          <w:lang w:val="en-US" w:eastAsia="zh-CN"/>
        </w:rPr>
        <w:t xml:space="preserve">                                </w:t>
      </w:r>
      <w:r>
        <w:rPr>
          <w:rFonts w:hint="eastAsia" w:ascii="宋体" w:hAnsi="宋体"/>
          <w:color w:val="000000"/>
          <w:sz w:val="24"/>
          <w:szCs w:val="24"/>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sz w:val="28"/>
          <w:szCs w:val="28"/>
          <w:u w:val="none"/>
          <w:lang w:val="en-US" w:eastAsia="zh-CN"/>
        </w:rPr>
      </w:pPr>
      <w:r>
        <w:rPr>
          <w:rFonts w:hint="eastAsia" w:ascii="宋体" w:hAnsi="宋体" w:eastAsia="宋体" w:cs="宋体"/>
          <w:color w:val="auto"/>
          <w:sz w:val="24"/>
          <w:szCs w:val="24"/>
          <w:lang w:val="en-US" w:eastAsia="zh-CN"/>
        </w:rPr>
        <w:t>账号：</w:t>
      </w:r>
      <w:r>
        <w:rPr>
          <w:rFonts w:hint="eastAsia" w:ascii="宋体" w:hAnsi="宋体"/>
          <w:color w:val="000000"/>
          <w:sz w:val="28"/>
          <w:szCs w:val="28"/>
          <w:u w:val="none"/>
          <w:lang w:val="en-US" w:eastAsia="zh-CN"/>
        </w:rPr>
        <w:t xml:space="preserve"> </w:t>
      </w:r>
      <w:r>
        <w:rPr>
          <w:rFonts w:hint="eastAsia" w:ascii="宋体" w:hAnsi="宋体"/>
          <w:color w:val="000000"/>
          <w:sz w:val="24"/>
          <w:szCs w:val="24"/>
          <w:u w:val="non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olor w:val="000000"/>
          <w:sz w:val="28"/>
          <w:szCs w:val="28"/>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第七条 风险承担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7.1 乙方履行本合同过程中发生事故，包括但不限于在运输、装卸、安装及调试过程中发生事故，给甲方、乙方或第三方人身、财产造成的所有损失，均由乙方负责处理和承担全部法律责任、经济赔偿。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7.2 货物毁损、丢失的风险自甲方在总体验收报告单上签字确认合格后转移给甲方，此前货物的一切风险均由乙方承担。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第八条 违约责任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8.1 如乙方未在本合同约定时间内将验收合格的货物交付给甲方使用，除应赔偿甲方因此造成的损失外，每逾期一日，按本合同约定总价款的千分之一向甲方支付违约金，甲方可在约定应付价款中对该费用予以扣除。</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8.2 乙方出现以下违约情形之一的，甲方有权拒绝支付任何价款并解除合同</w:t>
      </w:r>
      <w:r>
        <w:rPr>
          <w:rFonts w:hint="eastAsia" w:ascii="宋体" w:hAnsi="宋体" w:eastAsia="宋体" w:cs="宋体"/>
          <w:sz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8.2.1 乙方逾期</w:t>
      </w:r>
      <w:r>
        <w:rPr>
          <w:rFonts w:hint="eastAsia" w:ascii="宋体" w:hAnsi="宋体" w:eastAsia="宋体" w:cs="宋体"/>
          <w:color w:val="auto"/>
          <w:sz w:val="24"/>
          <w:szCs w:val="24"/>
          <w:u w:val="single"/>
          <w:lang w:val="en-US" w:eastAsia="zh-CN"/>
        </w:rPr>
        <w:t>30</w:t>
      </w:r>
      <w:r>
        <w:rPr>
          <w:rFonts w:hint="eastAsia" w:ascii="宋体" w:hAnsi="宋体" w:eastAsia="宋体" w:cs="宋体"/>
          <w:color w:val="auto"/>
          <w:sz w:val="24"/>
          <w:szCs w:val="24"/>
          <w:lang w:val="en-US" w:eastAsia="zh-CN"/>
        </w:rPr>
        <w:t>日仍不能供货；</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8.2.2 乙方提供的设备质量不符合国家标准、本合同标准或响应文件约定标准；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8.2.3 乙方将订单转包、分包给第三方；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8.2.4 其他根本违约的情形。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8.3 如乙方单方解除合同或甲方因乙方原因解除合同，乙方应赔偿给甲方造成的全部经济损失，并按本合同总价款 30%标准支付甲方违约金。</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第九条 争议解决</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本合同履行中发生争议，双方应先协商解决，协商解决不成的，由甲方所在地有管辖权的人民法院管辖。</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第十条 附则</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10.1 本合同未尽事宜，双方另行协商签订补充协议。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10.2 本合同组成文件和优先解释顺序：本合同补充协议；本合同及附件；议价结果公示；响应文件；采购文件；其他与本合同有关的资料。</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10.3 本合同一式伍份，甲方执肆份、乙方执壹份，自双方签字并盖章之日起生效。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甲方（盖章）：</w:t>
      </w:r>
      <w:r>
        <w:rPr>
          <w:rFonts w:hint="eastAsia" w:ascii="宋体" w:hAnsi="宋体" w:eastAsia="宋体" w:cs="宋体"/>
          <w:color w:val="auto"/>
          <w:sz w:val="24"/>
          <w:szCs w:val="24"/>
          <w:lang w:val="en-US" w:eastAsia="zh-CN"/>
        </w:rPr>
        <w:t>娄底市中心医院</w:t>
      </w:r>
      <w:r>
        <w:rPr>
          <w:rFonts w:hint="default"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乙方（盖章）</w:t>
      </w:r>
      <w:r>
        <w:rPr>
          <w:rFonts w:hint="eastAsia" w:ascii="宋体" w:hAnsi="宋体" w:eastAsia="宋体" w:cs="宋体"/>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法定代表人（签字）：        </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法定代表人（签字）：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或</w:t>
      </w:r>
      <w:r>
        <w:rPr>
          <w:rFonts w:hint="default" w:ascii="宋体" w:hAnsi="宋体" w:eastAsia="宋体" w:cs="宋体"/>
          <w:color w:val="auto"/>
          <w:sz w:val="24"/>
          <w:szCs w:val="24"/>
          <w:lang w:val="en-US" w:eastAsia="zh-CN"/>
        </w:rPr>
        <w:t xml:space="preserve">委托代理人（签字）：        </w:t>
      </w:r>
      <w:r>
        <w:rPr>
          <w:rFonts w:hint="eastAsia" w:ascii="宋体" w:hAnsi="宋体" w:eastAsia="宋体" w:cs="宋体"/>
          <w:color w:val="auto"/>
          <w:sz w:val="24"/>
          <w:szCs w:val="24"/>
          <w:lang w:val="en-US" w:eastAsia="zh-CN"/>
        </w:rPr>
        <w:t xml:space="preserve">      或</w:t>
      </w:r>
      <w:r>
        <w:rPr>
          <w:rFonts w:hint="default" w:ascii="宋体" w:hAnsi="宋体" w:eastAsia="宋体" w:cs="宋体"/>
          <w:color w:val="auto"/>
          <w:sz w:val="24"/>
          <w:szCs w:val="24"/>
          <w:lang w:val="en-US" w:eastAsia="zh-CN"/>
        </w:rPr>
        <w:t>委托代理人（签字）：</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合同签订地</w:t>
      </w:r>
      <w:r>
        <w:rPr>
          <w:rFonts w:hint="eastAsia" w:ascii="宋体" w:hAnsi="宋体" w:eastAsia="宋体" w:cs="宋体"/>
          <w:color w:val="auto"/>
          <w:sz w:val="24"/>
          <w:szCs w:val="24"/>
          <w:lang w:val="en-US" w:eastAsia="zh-CN"/>
        </w:rPr>
        <w:t>履行地</w:t>
      </w:r>
      <w:r>
        <w:rPr>
          <w:rFonts w:hint="default" w:ascii="宋体" w:hAnsi="宋体" w:eastAsia="宋体" w:cs="宋体"/>
          <w:color w:val="auto"/>
          <w:sz w:val="24"/>
          <w:szCs w:val="24"/>
          <w:lang w:val="en-US" w:eastAsia="zh-CN"/>
        </w:rPr>
        <w:t xml:space="preserve">：娄底市娄星区 </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签订时间：</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年</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月</w:t>
      </w:r>
      <w:r>
        <w:rPr>
          <w:rFonts w:hint="eastAsia" w:ascii="宋体" w:hAnsi="宋体" w:eastAsia="宋体" w:cs="宋体"/>
          <w:color w:val="auto"/>
          <w:sz w:val="24"/>
          <w:szCs w:val="24"/>
          <w:lang w:val="en-US" w:eastAsia="zh-CN"/>
        </w:rPr>
        <w:t xml:space="preserve">     </w:t>
      </w:r>
      <w:r>
        <w:rPr>
          <w:rFonts w:hint="default" w:ascii="宋体" w:hAnsi="宋体" w:eastAsia="宋体" w:cs="宋体"/>
          <w:color w:val="auto"/>
          <w:sz w:val="24"/>
          <w:szCs w:val="24"/>
          <w:lang w:val="en-US" w:eastAsia="zh-CN"/>
        </w:rPr>
        <w:t>日</w:t>
      </w:r>
    </w:p>
    <w:p>
      <w:pPr>
        <w:pStyle w:val="2"/>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pPr>
        <w:rPr>
          <w:rFonts w:hint="eastAsia" w:ascii="宋体" w:hAnsi="宋体" w:cs="宋体"/>
          <w:color w:val="auto"/>
        </w:rPr>
      </w:pPr>
    </w:p>
    <w:bookmarkEnd w:id="1"/>
    <w:p>
      <w:pPr>
        <w:rPr>
          <w:rFonts w:hint="eastAsia"/>
          <w:color w:val="auto"/>
        </w:rPr>
      </w:pPr>
    </w:p>
    <w:p>
      <w:pPr>
        <w:jc w:val="center"/>
        <w:rPr>
          <w:b/>
          <w:color w:val="auto"/>
          <w:sz w:val="24"/>
        </w:rPr>
      </w:pPr>
      <w:r>
        <w:rPr>
          <w:b/>
          <w:color w:val="auto"/>
          <w:sz w:val="28"/>
          <w:szCs w:val="28"/>
        </w:rPr>
        <w:t>第一部分、开标一览表</w:t>
      </w:r>
    </w:p>
    <w:p>
      <w:pPr>
        <w:jc w:val="center"/>
        <w:rPr>
          <w:b/>
          <w:color w:val="auto"/>
          <w:sz w:val="24"/>
        </w:rPr>
      </w:pPr>
    </w:p>
    <w:p>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pPr>
        <w:pStyle w:val="15"/>
        <w:rPr>
          <w:color w:val="auto"/>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pPr>
        <w:pStyle w:val="14"/>
        <w:rPr>
          <w:rFonts w:hint="eastAsia"/>
          <w:lang w:eastAsia="zh-CN"/>
        </w:rPr>
      </w:pPr>
    </w:p>
    <w:p>
      <w:pPr>
        <w:adjustRightInd w:val="0"/>
        <w:snapToGrid w:val="0"/>
        <w:spacing w:line="360" w:lineRule="auto"/>
        <w:jc w:val="center"/>
        <w:rPr>
          <w:rFonts w:hint="eastAsia" w:ascii="宋体" w:hAnsi="宋体" w:cs="宋体"/>
          <w:b/>
          <w:color w:val="auto"/>
          <w:sz w:val="24"/>
          <w:szCs w:val="20"/>
        </w:rPr>
      </w:pPr>
    </w:p>
    <w:p>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pPr>
        <w:adjustRightInd w:val="0"/>
        <w:snapToGrid w:val="0"/>
        <w:spacing w:line="360" w:lineRule="auto"/>
        <w:rPr>
          <w:rFonts w:hint="eastAsia" w:ascii="宋体" w:hAnsi="宋体" w:cs="宋体"/>
          <w:b/>
          <w:color w:val="auto"/>
          <w:sz w:val="28"/>
          <w:szCs w:val="28"/>
        </w:rPr>
      </w:pPr>
    </w:p>
    <w:p>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pPr>
        <w:adjustRightInd w:val="0"/>
        <w:snapToGrid w:val="0"/>
        <w:spacing w:line="360" w:lineRule="auto"/>
        <w:ind w:firstLine="480" w:firstLineChars="200"/>
        <w:rPr>
          <w:rFonts w:hint="eastAsia" w:ascii="宋体" w:hAnsi="宋体" w:cs="宋体"/>
          <w:color w:val="auto"/>
          <w:sz w:val="24"/>
        </w:rPr>
      </w:pPr>
    </w:p>
    <w:tbl>
      <w:tblPr>
        <w:tblStyle w:val="9"/>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pPr>
        <w:adjustRightInd w:val="0"/>
        <w:snapToGrid w:val="0"/>
        <w:spacing w:line="360" w:lineRule="auto"/>
        <w:rPr>
          <w:rFonts w:hint="eastAsia" w:ascii="宋体" w:hAnsi="宋体" w:cs="宋体"/>
          <w:color w:val="auto"/>
          <w:sz w:val="24"/>
        </w:rPr>
      </w:pPr>
    </w:p>
    <w:tbl>
      <w:tblPr>
        <w:tblStyle w:val="9"/>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pPr>
        <w:adjustRightInd w:val="0"/>
        <w:snapToGrid w:val="0"/>
        <w:spacing w:line="360" w:lineRule="auto"/>
        <w:rPr>
          <w:rFonts w:hint="eastAsia" w:ascii="宋体" w:hAnsi="宋体" w:cs="宋体"/>
          <w:color w:val="auto"/>
          <w:sz w:val="24"/>
        </w:rPr>
      </w:pPr>
    </w:p>
    <w:p>
      <w:pPr>
        <w:adjustRightInd w:val="0"/>
        <w:snapToGrid w:val="0"/>
        <w:spacing w:line="360" w:lineRule="auto"/>
        <w:rPr>
          <w:rFonts w:hint="eastAsia" w:ascii="宋体" w:hAnsi="宋体" w:cs="宋体"/>
          <w:color w:val="auto"/>
          <w:sz w:val="24"/>
        </w:rPr>
      </w:pPr>
    </w:p>
    <w:p>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pPr>
        <w:adjustRightInd w:val="0"/>
        <w:snapToGrid w:val="0"/>
        <w:spacing w:line="360" w:lineRule="auto"/>
        <w:rPr>
          <w:rFonts w:hint="eastAsia" w:ascii="宋体" w:hAnsi="宋体" w:cs="宋体"/>
          <w:b/>
          <w:color w:val="auto"/>
          <w:sz w:val="28"/>
          <w:szCs w:val="28"/>
        </w:rPr>
      </w:pPr>
    </w:p>
    <w:p>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按照招标文件的规定，我单位郑重声明如下：</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招标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pPr>
        <w:adjustRightInd w:val="0"/>
        <w:snapToGrid w:val="0"/>
        <w:spacing w:line="360" w:lineRule="auto"/>
        <w:jc w:val="center"/>
        <w:rPr>
          <w:rFonts w:hint="eastAsia" w:ascii="宋体" w:hAnsi="宋体" w:cs="宋体"/>
          <w:b/>
          <w:color w:val="auto"/>
          <w:sz w:val="24"/>
          <w:szCs w:val="20"/>
        </w:rPr>
      </w:pPr>
    </w:p>
    <w:p>
      <w:pPr>
        <w:adjustRightInd w:val="0"/>
        <w:snapToGrid w:val="0"/>
        <w:spacing w:line="360" w:lineRule="auto"/>
        <w:rPr>
          <w:rFonts w:hint="eastAsia" w:ascii="宋体" w:hAnsi="宋体" w:cs="宋体"/>
          <w:b/>
          <w:color w:val="auto"/>
          <w:sz w:val="24"/>
          <w:szCs w:val="20"/>
        </w:rPr>
      </w:pPr>
    </w:p>
    <w:p>
      <w:pPr>
        <w:adjustRightInd w:val="0"/>
        <w:snapToGrid w:val="0"/>
        <w:spacing w:line="360" w:lineRule="auto"/>
        <w:rPr>
          <w:rFonts w:hint="eastAsia" w:ascii="宋体" w:hAnsi="宋体" w:cs="宋体"/>
          <w:b/>
          <w:color w:val="auto"/>
          <w:sz w:val="24"/>
          <w:szCs w:val="20"/>
        </w:rPr>
      </w:pPr>
    </w:p>
    <w:p>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pPr>
        <w:adjustRightInd w:val="0"/>
        <w:snapToGrid w:val="0"/>
        <w:spacing w:line="360" w:lineRule="auto"/>
        <w:jc w:val="center"/>
        <w:rPr>
          <w:rFonts w:hint="eastAsia" w:ascii="宋体" w:hAnsi="宋体" w:cs="宋体"/>
          <w:b/>
          <w:color w:val="auto"/>
          <w:sz w:val="24"/>
          <w:szCs w:val="20"/>
        </w:rPr>
      </w:pPr>
    </w:p>
    <w:p>
      <w:pPr>
        <w:pStyle w:val="3"/>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pPr>
        <w:jc w:val="left"/>
        <w:rPr>
          <w:rFonts w:hint="eastAsia" w:ascii="宋体" w:hAnsi="宋体" w:eastAsia="宋体" w:cs="Times New Roman"/>
          <w:b w:val="0"/>
          <w:bCs w:val="0"/>
          <w:color w:val="auto"/>
          <w:kern w:val="2"/>
          <w:sz w:val="24"/>
          <w:szCs w:val="24"/>
          <w:lang w:val="en-US" w:eastAsia="zh-CN" w:bidi="ar-SA"/>
        </w:rPr>
      </w:pPr>
    </w:p>
    <w:p>
      <w:pPr>
        <w:jc w:val="left"/>
        <w:rPr>
          <w:rFonts w:hint="eastAsia" w:ascii="宋体" w:hAnsi="宋体" w:eastAsia="宋体" w:cs="Times New Roman"/>
          <w:b w:val="0"/>
          <w:bCs w:val="0"/>
          <w:color w:val="auto"/>
          <w:kern w:val="2"/>
          <w:sz w:val="24"/>
          <w:szCs w:val="24"/>
          <w:lang w:val="en-US" w:eastAsia="zh-CN" w:bidi="ar-SA"/>
        </w:rPr>
      </w:pPr>
    </w:p>
    <w:p>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76514128"/>
      <w:bookmarkStart w:id="3" w:name="_Toc486424819"/>
    </w:p>
    <w:p>
      <w:pPr>
        <w:pStyle w:val="14"/>
        <w:rPr>
          <w:rFonts w:hint="eastAsia"/>
          <w:lang w:eastAsia="zh-CN"/>
        </w:rPr>
      </w:pPr>
    </w:p>
    <w:p>
      <w:pPr>
        <w:spacing w:before="120" w:beforeLines="50" w:after="120" w:afterLines="50" w:line="276" w:lineRule="auto"/>
        <w:jc w:val="center"/>
        <w:rPr>
          <w:b/>
          <w:color w:val="auto"/>
          <w:sz w:val="24"/>
        </w:rPr>
      </w:pPr>
      <w:r>
        <w:rPr>
          <w:b/>
          <w:color w:val="auto"/>
          <w:sz w:val="24"/>
        </w:rPr>
        <w:t>采购需求响应/偏离表</w:t>
      </w:r>
    </w:p>
    <w:p>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9"/>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627"/>
        <w:gridCol w:w="1877"/>
        <w:gridCol w:w="1671"/>
        <w:gridCol w:w="1608"/>
        <w:gridCol w:w="1513"/>
        <w:gridCol w:w="10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75" w:type="pct"/>
            <w:noWrap w:val="0"/>
            <w:vAlign w:val="center"/>
          </w:tcPr>
          <w:p>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123" w:type="pct"/>
            <w:noWrap w:val="0"/>
            <w:vAlign w:val="center"/>
          </w:tcPr>
          <w:p>
            <w:pPr>
              <w:adjustRightInd w:val="0"/>
              <w:snapToGrid w:val="0"/>
              <w:spacing w:before="50" w:line="360" w:lineRule="auto"/>
              <w:ind w:left="-88" w:leftChars="-42"/>
              <w:jc w:val="center"/>
              <w:rPr>
                <w:color w:val="auto"/>
                <w:szCs w:val="21"/>
              </w:rPr>
            </w:pPr>
            <w:r>
              <w:rPr>
                <w:color w:val="auto"/>
                <w:szCs w:val="21"/>
              </w:rPr>
              <w:t>招标文件章节</w:t>
            </w:r>
            <w:r>
              <w:rPr>
                <w:bCs/>
                <w:color w:val="auto"/>
                <w:szCs w:val="21"/>
              </w:rPr>
              <w:t>条</w:t>
            </w:r>
            <w:r>
              <w:rPr>
                <w:color w:val="auto"/>
                <w:szCs w:val="21"/>
              </w:rPr>
              <w:t>款号</w:t>
            </w:r>
          </w:p>
        </w:tc>
        <w:tc>
          <w:tcPr>
            <w:tcW w:w="1000" w:type="pct"/>
            <w:noWrap w:val="0"/>
            <w:vAlign w:val="top"/>
          </w:tcPr>
          <w:p>
            <w:pPr>
              <w:adjustRightInd w:val="0"/>
              <w:snapToGrid w:val="0"/>
              <w:spacing w:before="50" w:line="360" w:lineRule="auto"/>
              <w:jc w:val="center"/>
              <w:rPr>
                <w:color w:val="auto"/>
              </w:rPr>
            </w:pPr>
            <w:r>
              <w:rPr>
                <w:color w:val="auto"/>
              </w:rPr>
              <w:t>招标文件要求</w:t>
            </w:r>
          </w:p>
        </w:tc>
        <w:tc>
          <w:tcPr>
            <w:tcW w:w="962" w:type="pct"/>
            <w:noWrap w:val="0"/>
            <w:vAlign w:val="top"/>
          </w:tcPr>
          <w:p>
            <w:pPr>
              <w:adjustRightInd w:val="0"/>
              <w:snapToGrid w:val="0"/>
              <w:spacing w:before="50" w:line="360" w:lineRule="auto"/>
              <w:jc w:val="center"/>
              <w:rPr>
                <w:color w:val="auto"/>
              </w:rPr>
            </w:pPr>
            <w:r>
              <w:rPr>
                <w:color w:val="auto"/>
              </w:rPr>
              <w:t>投标文件应答</w:t>
            </w:r>
          </w:p>
        </w:tc>
        <w:tc>
          <w:tcPr>
            <w:tcW w:w="905" w:type="pct"/>
            <w:noWrap w:val="0"/>
            <w:vAlign w:val="center"/>
          </w:tcPr>
          <w:p>
            <w:pPr>
              <w:adjustRightInd w:val="0"/>
              <w:snapToGrid w:val="0"/>
              <w:spacing w:before="50" w:line="360" w:lineRule="auto"/>
              <w:ind w:left="-88" w:leftChars="-42"/>
              <w:jc w:val="center"/>
              <w:rPr>
                <w:color w:val="auto"/>
                <w:szCs w:val="21"/>
              </w:rPr>
            </w:pPr>
            <w:r>
              <w:rPr>
                <w:color w:val="auto"/>
                <w:szCs w:val="21"/>
              </w:rPr>
              <w:t>响应/偏离</w:t>
            </w:r>
          </w:p>
        </w:tc>
        <w:tc>
          <w:tcPr>
            <w:tcW w:w="634" w:type="pct"/>
            <w:noWrap w:val="0"/>
            <w:vAlign w:val="center"/>
          </w:tcPr>
          <w:p>
            <w:pPr>
              <w:adjustRightInd w:val="0"/>
              <w:snapToGrid w:val="0"/>
              <w:spacing w:before="50" w:line="360" w:lineRule="auto"/>
              <w:ind w:left="-88" w:leftChars="-42"/>
              <w:jc w:val="center"/>
              <w:rPr>
                <w:color w:val="auto"/>
                <w:szCs w:val="21"/>
              </w:rPr>
            </w:pPr>
            <w:r>
              <w:rPr>
                <w:color w:val="auto"/>
                <w:szCs w:val="21"/>
              </w:rPr>
              <w:t>偏离说明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pPr>
              <w:adjustRightInd w:val="0"/>
              <w:snapToGrid w:val="0"/>
              <w:spacing w:before="50" w:line="360" w:lineRule="auto"/>
              <w:ind w:left="-88" w:leftChars="-42"/>
              <w:jc w:val="center"/>
              <w:rPr>
                <w:color w:val="auto"/>
                <w:szCs w:val="21"/>
              </w:rPr>
            </w:pPr>
          </w:p>
        </w:tc>
        <w:tc>
          <w:tcPr>
            <w:tcW w:w="1123" w:type="pct"/>
            <w:noWrap w:val="0"/>
            <w:vAlign w:val="center"/>
          </w:tcPr>
          <w:p>
            <w:pPr>
              <w:adjustRightInd w:val="0"/>
              <w:snapToGrid w:val="0"/>
              <w:spacing w:before="50" w:line="360" w:lineRule="auto"/>
              <w:ind w:left="-88" w:leftChars="-42"/>
              <w:jc w:val="center"/>
              <w:rPr>
                <w:color w:val="auto"/>
                <w:szCs w:val="21"/>
              </w:rPr>
            </w:pPr>
          </w:p>
        </w:tc>
        <w:tc>
          <w:tcPr>
            <w:tcW w:w="1000" w:type="pct"/>
            <w:noWrap w:val="0"/>
            <w:vAlign w:val="center"/>
          </w:tcPr>
          <w:p>
            <w:pPr>
              <w:adjustRightInd w:val="0"/>
              <w:snapToGrid w:val="0"/>
              <w:spacing w:before="50" w:line="360" w:lineRule="auto"/>
              <w:ind w:left="-88" w:leftChars="-42"/>
              <w:jc w:val="center"/>
              <w:rPr>
                <w:color w:val="auto"/>
                <w:szCs w:val="21"/>
              </w:rPr>
            </w:pPr>
          </w:p>
        </w:tc>
        <w:tc>
          <w:tcPr>
            <w:tcW w:w="962" w:type="pct"/>
            <w:noWrap w:val="0"/>
            <w:vAlign w:val="center"/>
          </w:tcPr>
          <w:p>
            <w:pPr>
              <w:adjustRightInd w:val="0"/>
              <w:snapToGrid w:val="0"/>
              <w:spacing w:before="50" w:line="360" w:lineRule="auto"/>
              <w:ind w:left="-88" w:leftChars="-42"/>
              <w:jc w:val="center"/>
              <w:rPr>
                <w:color w:val="auto"/>
                <w:szCs w:val="21"/>
              </w:rPr>
            </w:pPr>
          </w:p>
        </w:tc>
        <w:tc>
          <w:tcPr>
            <w:tcW w:w="905" w:type="pct"/>
            <w:noWrap w:val="0"/>
            <w:vAlign w:val="center"/>
          </w:tcPr>
          <w:p>
            <w:pPr>
              <w:adjustRightInd w:val="0"/>
              <w:snapToGrid w:val="0"/>
              <w:spacing w:before="50" w:line="360" w:lineRule="auto"/>
              <w:ind w:left="-88" w:leftChars="-42"/>
              <w:jc w:val="center"/>
              <w:rPr>
                <w:color w:val="auto"/>
                <w:szCs w:val="21"/>
              </w:rPr>
            </w:pPr>
          </w:p>
        </w:tc>
        <w:tc>
          <w:tcPr>
            <w:tcW w:w="634" w:type="pct"/>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pPr>
              <w:adjustRightInd w:val="0"/>
              <w:snapToGrid w:val="0"/>
              <w:spacing w:before="50" w:line="360" w:lineRule="auto"/>
              <w:ind w:left="-88" w:leftChars="-42"/>
              <w:jc w:val="center"/>
              <w:rPr>
                <w:color w:val="auto"/>
                <w:szCs w:val="21"/>
              </w:rPr>
            </w:pPr>
          </w:p>
        </w:tc>
        <w:tc>
          <w:tcPr>
            <w:tcW w:w="1123" w:type="pct"/>
            <w:noWrap w:val="0"/>
            <w:vAlign w:val="center"/>
          </w:tcPr>
          <w:p>
            <w:pPr>
              <w:adjustRightInd w:val="0"/>
              <w:snapToGrid w:val="0"/>
              <w:spacing w:before="50" w:line="360" w:lineRule="auto"/>
              <w:ind w:left="-88" w:leftChars="-42"/>
              <w:jc w:val="center"/>
              <w:rPr>
                <w:color w:val="auto"/>
                <w:szCs w:val="21"/>
              </w:rPr>
            </w:pPr>
          </w:p>
        </w:tc>
        <w:tc>
          <w:tcPr>
            <w:tcW w:w="1000" w:type="pct"/>
            <w:noWrap w:val="0"/>
            <w:vAlign w:val="center"/>
          </w:tcPr>
          <w:p>
            <w:pPr>
              <w:adjustRightInd w:val="0"/>
              <w:snapToGrid w:val="0"/>
              <w:spacing w:before="50" w:line="360" w:lineRule="auto"/>
              <w:ind w:left="-88" w:leftChars="-42"/>
              <w:jc w:val="center"/>
              <w:rPr>
                <w:color w:val="auto"/>
                <w:szCs w:val="21"/>
              </w:rPr>
            </w:pPr>
          </w:p>
        </w:tc>
        <w:tc>
          <w:tcPr>
            <w:tcW w:w="962" w:type="pct"/>
            <w:noWrap w:val="0"/>
            <w:vAlign w:val="center"/>
          </w:tcPr>
          <w:p>
            <w:pPr>
              <w:adjustRightInd w:val="0"/>
              <w:snapToGrid w:val="0"/>
              <w:spacing w:before="50" w:line="360" w:lineRule="auto"/>
              <w:ind w:left="-88" w:leftChars="-42"/>
              <w:jc w:val="center"/>
              <w:rPr>
                <w:color w:val="auto"/>
                <w:szCs w:val="21"/>
              </w:rPr>
            </w:pPr>
          </w:p>
        </w:tc>
        <w:tc>
          <w:tcPr>
            <w:tcW w:w="905" w:type="pct"/>
            <w:noWrap w:val="0"/>
            <w:vAlign w:val="center"/>
          </w:tcPr>
          <w:p>
            <w:pPr>
              <w:adjustRightInd w:val="0"/>
              <w:snapToGrid w:val="0"/>
              <w:spacing w:before="50" w:line="360" w:lineRule="auto"/>
              <w:ind w:left="-88" w:leftChars="-42"/>
              <w:jc w:val="center"/>
              <w:rPr>
                <w:color w:val="auto"/>
                <w:szCs w:val="21"/>
              </w:rPr>
            </w:pPr>
          </w:p>
        </w:tc>
        <w:tc>
          <w:tcPr>
            <w:tcW w:w="634" w:type="pct"/>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pPr>
              <w:adjustRightInd w:val="0"/>
              <w:snapToGrid w:val="0"/>
              <w:spacing w:before="50" w:line="360" w:lineRule="auto"/>
              <w:ind w:left="-88" w:leftChars="-42"/>
              <w:jc w:val="center"/>
              <w:rPr>
                <w:color w:val="auto"/>
                <w:szCs w:val="21"/>
              </w:rPr>
            </w:pPr>
          </w:p>
        </w:tc>
        <w:tc>
          <w:tcPr>
            <w:tcW w:w="1123" w:type="pct"/>
            <w:noWrap w:val="0"/>
            <w:vAlign w:val="center"/>
          </w:tcPr>
          <w:p>
            <w:pPr>
              <w:adjustRightInd w:val="0"/>
              <w:snapToGrid w:val="0"/>
              <w:spacing w:before="50" w:line="360" w:lineRule="auto"/>
              <w:ind w:left="-88" w:leftChars="-42"/>
              <w:jc w:val="center"/>
              <w:rPr>
                <w:color w:val="auto"/>
                <w:szCs w:val="21"/>
              </w:rPr>
            </w:pPr>
          </w:p>
        </w:tc>
        <w:tc>
          <w:tcPr>
            <w:tcW w:w="1000" w:type="pct"/>
            <w:noWrap w:val="0"/>
            <w:vAlign w:val="center"/>
          </w:tcPr>
          <w:p>
            <w:pPr>
              <w:adjustRightInd w:val="0"/>
              <w:snapToGrid w:val="0"/>
              <w:spacing w:before="50" w:line="360" w:lineRule="auto"/>
              <w:ind w:left="-88" w:leftChars="-42"/>
              <w:jc w:val="center"/>
              <w:rPr>
                <w:color w:val="auto"/>
                <w:szCs w:val="21"/>
              </w:rPr>
            </w:pPr>
          </w:p>
        </w:tc>
        <w:tc>
          <w:tcPr>
            <w:tcW w:w="962" w:type="pct"/>
            <w:noWrap w:val="0"/>
            <w:vAlign w:val="center"/>
          </w:tcPr>
          <w:p>
            <w:pPr>
              <w:adjustRightInd w:val="0"/>
              <w:snapToGrid w:val="0"/>
              <w:spacing w:before="50" w:line="360" w:lineRule="auto"/>
              <w:ind w:left="-88" w:leftChars="-42"/>
              <w:jc w:val="center"/>
              <w:rPr>
                <w:color w:val="auto"/>
                <w:szCs w:val="21"/>
              </w:rPr>
            </w:pPr>
          </w:p>
        </w:tc>
        <w:tc>
          <w:tcPr>
            <w:tcW w:w="905" w:type="pct"/>
            <w:noWrap w:val="0"/>
            <w:vAlign w:val="center"/>
          </w:tcPr>
          <w:p>
            <w:pPr>
              <w:adjustRightInd w:val="0"/>
              <w:snapToGrid w:val="0"/>
              <w:spacing w:before="50" w:line="360" w:lineRule="auto"/>
              <w:ind w:left="-88" w:leftChars="-42"/>
              <w:jc w:val="center"/>
              <w:rPr>
                <w:color w:val="auto"/>
                <w:szCs w:val="21"/>
              </w:rPr>
            </w:pPr>
          </w:p>
        </w:tc>
        <w:tc>
          <w:tcPr>
            <w:tcW w:w="634" w:type="pct"/>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6"/>
            <w:noWrap w:val="0"/>
            <w:vAlign w:val="center"/>
          </w:tcPr>
          <w:p>
            <w:pPr>
              <w:rPr>
                <w:b/>
                <w:color w:val="auto"/>
              </w:rPr>
            </w:pPr>
          </w:p>
        </w:tc>
      </w:tr>
    </w:tbl>
    <w:p>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pPr>
        <w:adjustRightInd w:val="0"/>
        <w:snapToGrid w:val="0"/>
        <w:spacing w:before="50" w:line="360" w:lineRule="auto"/>
        <w:ind w:left="-88" w:leftChars="-42"/>
        <w:rPr>
          <w:rFonts w:hint="eastAsia"/>
          <w:color w:val="auto"/>
          <w:sz w:val="24"/>
        </w:rPr>
      </w:pPr>
      <w:r>
        <w:rPr>
          <w:color w:val="auto"/>
          <w:sz w:val="24"/>
        </w:rPr>
        <w:t>（1）投标人应根据招标文件第</w:t>
      </w:r>
      <w:r>
        <w:rPr>
          <w:rFonts w:hint="eastAsia"/>
          <w:color w:val="auto"/>
          <w:sz w:val="24"/>
          <w:lang w:val="en-US" w:eastAsia="zh-CN"/>
        </w:rPr>
        <w:t>二</w:t>
      </w:r>
      <w:r>
        <w:rPr>
          <w:color w:val="auto"/>
          <w:sz w:val="24"/>
        </w:rPr>
        <w:t>章中采购需求填写本表，逐条应答；</w:t>
      </w:r>
    </w:p>
    <w:p>
      <w:pPr>
        <w:adjustRightInd w:val="0"/>
        <w:snapToGrid w:val="0"/>
        <w:spacing w:before="50" w:line="360" w:lineRule="auto"/>
        <w:ind w:left="-88" w:leftChars="-42"/>
        <w:rPr>
          <w:rFonts w:hint="eastAsia"/>
          <w:color w:val="auto"/>
          <w:sz w:val="24"/>
        </w:rPr>
      </w:pPr>
      <w:r>
        <w:rPr>
          <w:color w:val="auto"/>
          <w:sz w:val="24"/>
        </w:rPr>
        <w:t>（2）如不提供此表，则视为投标人不满足招标文件第三章的所有条款要求，其投标无效；</w:t>
      </w:r>
    </w:p>
    <w:p>
      <w:pPr>
        <w:adjustRightInd w:val="0"/>
        <w:snapToGrid w:val="0"/>
        <w:spacing w:before="50" w:line="360" w:lineRule="auto"/>
        <w:ind w:left="-88" w:leftChars="-42"/>
        <w:rPr>
          <w:color w:val="auto"/>
        </w:rPr>
      </w:pPr>
      <w:r>
        <w:rPr>
          <w:color w:val="auto"/>
          <w:sz w:val="24"/>
        </w:rPr>
        <w:t>（3）在招标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招标人签订合同。</w:t>
      </w:r>
    </w:p>
    <w:p>
      <w:pPr>
        <w:pStyle w:val="15"/>
        <w:rPr>
          <w:color w:val="auto"/>
        </w:rPr>
      </w:pPr>
    </w:p>
    <w:p>
      <w:pPr>
        <w:pStyle w:val="14"/>
        <w:rPr>
          <w:rFonts w:hint="eastAsia"/>
          <w:lang w:eastAsia="zh-CN"/>
        </w:rPr>
      </w:pPr>
    </w:p>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650B53"/>
    <w:multiLevelType w:val="singleLevel"/>
    <w:tmpl w:val="85650B53"/>
    <w:lvl w:ilvl="0" w:tentative="0">
      <w:start w:val="1"/>
      <w:numFmt w:val="decimal"/>
      <w:lvlText w:val="%1."/>
      <w:lvlJc w:val="left"/>
      <w:pPr>
        <w:ind w:left="845" w:hanging="425"/>
      </w:pPr>
      <w:rPr>
        <w:rFonts w:hint="default"/>
      </w:rPr>
    </w:lvl>
  </w:abstractNum>
  <w:abstractNum w:abstractNumId="1">
    <w:nsid w:val="BB68914C"/>
    <w:multiLevelType w:val="singleLevel"/>
    <w:tmpl w:val="BB68914C"/>
    <w:lvl w:ilvl="0" w:tentative="0">
      <w:start w:val="2"/>
      <w:numFmt w:val="chineseCounting"/>
      <w:suff w:val="nothing"/>
      <w:lvlText w:val="%1、"/>
      <w:lvlJc w:val="left"/>
      <w:rPr>
        <w:rFonts w:hint="eastAsia"/>
      </w:rPr>
    </w:lvl>
  </w:abstractNum>
  <w:abstractNum w:abstractNumId="2">
    <w:nsid w:val="F22833F1"/>
    <w:multiLevelType w:val="singleLevel"/>
    <w:tmpl w:val="F22833F1"/>
    <w:lvl w:ilvl="0" w:tentative="0">
      <w:start w:val="1"/>
      <w:numFmt w:val="decimal"/>
      <w:suff w:val="nothing"/>
      <w:lvlText w:val="%1、"/>
      <w:lvlJc w:val="left"/>
    </w:lvl>
  </w:abstractNum>
  <w:abstractNum w:abstractNumId="3">
    <w:nsid w:val="1E6DDE31"/>
    <w:multiLevelType w:val="singleLevel"/>
    <w:tmpl w:val="1E6DDE31"/>
    <w:lvl w:ilvl="0" w:tentative="0">
      <w:start w:val="1"/>
      <w:numFmt w:val="chineseCounting"/>
      <w:suff w:val="space"/>
      <w:lvlText w:val="第%1条"/>
      <w:lvlJc w:val="left"/>
      <w:rPr>
        <w:rFonts w:hint="eastAsia"/>
      </w:rPr>
    </w:lvl>
  </w:abstractNum>
  <w:abstractNum w:abstractNumId="4">
    <w:nsid w:val="7A24DE4D"/>
    <w:multiLevelType w:val="multilevel"/>
    <w:tmpl w:val="7A24DE4D"/>
    <w:lvl w:ilvl="0" w:tentative="0">
      <w:start w:val="1"/>
      <w:numFmt w:val="decimal"/>
      <w:lvlText w:val="%1."/>
      <w:lvlJc w:val="left"/>
      <w:pPr>
        <w:ind w:left="425" w:hanging="425"/>
      </w:pPr>
      <w:rPr>
        <w:rFonts w:hint="default"/>
      </w:rPr>
    </w:lvl>
    <w:lvl w:ilvl="1" w:tentative="0">
      <w:start w:val="1"/>
      <w:numFmt w:val="decimal"/>
      <w:lvlText w:val="%1.%2."/>
      <w:lvlJc w:val="left"/>
      <w:pPr>
        <w:ind w:left="119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AE556A"/>
    <w:rsid w:val="016176FE"/>
    <w:rsid w:val="06E91EC4"/>
    <w:rsid w:val="0E331420"/>
    <w:rsid w:val="0EDD1643"/>
    <w:rsid w:val="12054909"/>
    <w:rsid w:val="12080B62"/>
    <w:rsid w:val="12994AC5"/>
    <w:rsid w:val="129F447F"/>
    <w:rsid w:val="1AF56B46"/>
    <w:rsid w:val="1F796B24"/>
    <w:rsid w:val="1FE73549"/>
    <w:rsid w:val="20B41DA7"/>
    <w:rsid w:val="23D27125"/>
    <w:rsid w:val="28E81B29"/>
    <w:rsid w:val="29404759"/>
    <w:rsid w:val="2C7642D0"/>
    <w:rsid w:val="2DDA1E78"/>
    <w:rsid w:val="2EAB125F"/>
    <w:rsid w:val="2EAC037F"/>
    <w:rsid w:val="2EB67A5C"/>
    <w:rsid w:val="302741D2"/>
    <w:rsid w:val="308B184D"/>
    <w:rsid w:val="340F06E9"/>
    <w:rsid w:val="372F7378"/>
    <w:rsid w:val="397348CD"/>
    <w:rsid w:val="3B3B544D"/>
    <w:rsid w:val="3B654F2B"/>
    <w:rsid w:val="3E584E51"/>
    <w:rsid w:val="429A4992"/>
    <w:rsid w:val="435B161D"/>
    <w:rsid w:val="43B25DAC"/>
    <w:rsid w:val="4B7F39F4"/>
    <w:rsid w:val="4BAE646F"/>
    <w:rsid w:val="4DCD6AB3"/>
    <w:rsid w:val="50540C20"/>
    <w:rsid w:val="51AC28BD"/>
    <w:rsid w:val="55976FB7"/>
    <w:rsid w:val="611B6B1B"/>
    <w:rsid w:val="64133D6A"/>
    <w:rsid w:val="678E4F5D"/>
    <w:rsid w:val="680E122C"/>
    <w:rsid w:val="6DE375E4"/>
    <w:rsid w:val="71584067"/>
    <w:rsid w:val="74566F5C"/>
    <w:rsid w:val="750117A8"/>
    <w:rsid w:val="77423DFF"/>
    <w:rsid w:val="7BBF44BB"/>
    <w:rsid w:val="7BD43BBE"/>
    <w:rsid w:val="7BF15CE4"/>
    <w:rsid w:val="7C3A27E5"/>
    <w:rsid w:val="7D972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99"/>
    <w:pPr>
      <w:spacing w:line="400" w:lineRule="exact"/>
      <w:ind w:left="630"/>
    </w:pPr>
    <w:rPr>
      <w:rFonts w:ascii="楷体_GB2312"/>
      <w:sz w:val="30"/>
      <w:szCs w:val="30"/>
    </w:rPr>
  </w:style>
  <w:style w:type="paragraph" w:styleId="5">
    <w:name w:val="Body Text First Indent 2"/>
    <w:basedOn w:val="4"/>
    <w:next w:val="1"/>
    <w:qFormat/>
    <w:uiPriority w:val="0"/>
    <w:pPr>
      <w:overflowPunct w:val="0"/>
      <w:adjustRightInd w:val="0"/>
      <w:spacing w:line="500" w:lineRule="exact"/>
      <w:ind w:firstLine="420" w:firstLineChars="200"/>
      <w:textAlignment w:val="baseline"/>
    </w:pPr>
    <w:rPr>
      <w:rFonts w:eastAsia="仿宋_GB2312"/>
      <w:kern w:val="28"/>
      <w:sz w:val="28"/>
    </w:rPr>
  </w:style>
  <w:style w:type="paragraph" w:styleId="6">
    <w:name w:val="footer"/>
    <w:basedOn w:val="1"/>
    <w:qFormat/>
    <w:uiPriority w:val="0"/>
    <w:pPr>
      <w:tabs>
        <w:tab w:val="center" w:pos="4153"/>
        <w:tab w:val="right" w:pos="8306"/>
      </w:tabs>
      <w:snapToGrid w:val="0"/>
      <w:jc w:val="left"/>
    </w:pPr>
    <w:rPr>
      <w:kern w:val="0"/>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customStyle="1" w:styleId="11">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12">
    <w:name w:val="Default"/>
    <w:next w:val="1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3">
    <w:name w:val="大标题"/>
    <w:basedOn w:val="1"/>
    <w:next w:val="5"/>
    <w:qFormat/>
    <w:uiPriority w:val="0"/>
    <w:pPr>
      <w:jc w:val="center"/>
    </w:pPr>
    <w:rPr>
      <w:rFonts w:ascii="Arial" w:hAnsi="Arial" w:eastAsia="宋体"/>
      <w:b/>
      <w:sz w:val="28"/>
      <w:szCs w:val="24"/>
    </w:rPr>
  </w:style>
  <w:style w:type="paragraph" w:customStyle="1" w:styleId="14">
    <w:name w:val="列出段落1"/>
    <w:basedOn w:val="1"/>
    <w:qFormat/>
    <w:uiPriority w:val="99"/>
    <w:pPr>
      <w:ind w:firstLine="420" w:firstLineChars="200"/>
    </w:pPr>
  </w:style>
  <w:style w:type="paragraph" w:customStyle="1" w:styleId="15">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16">
    <w:name w:val="List Paragraph"/>
    <w:basedOn w:val="1"/>
    <w:qFormat/>
    <w:uiPriority w:val="34"/>
    <w:pPr>
      <w:ind w:firstLine="420" w:firstLineChars="200"/>
    </w:pPr>
    <w:rPr>
      <w:rFonts w:ascii="Calibri" w:hAnsi="Calibri"/>
      <w:szCs w:val="22"/>
    </w:rPr>
  </w:style>
  <w:style w:type="character" w:customStyle="1" w:styleId="17">
    <w:name w:val="font3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7686</Words>
  <Characters>8040</Characters>
  <Lines>0</Lines>
  <Paragraphs>0</Paragraphs>
  <TotalTime>0</TotalTime>
  <ScaleCrop>false</ScaleCrop>
  <LinksUpToDate>false</LinksUpToDate>
  <CharactersWithSpaces>8973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2023-07-17T09:45:00Z</dcterms:created>
  <dc:creator>是小豹子</dc:creator>
  <cp:lastModifiedBy>张思远</cp:lastModifiedBy>
  <dcterms:modified xsi:type="dcterms:W3CDTF">2023-10-17T02:11:50Z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3505A2AB25E048A4A9B0E6A6741CA1BA_11</vt:lpwstr>
  </property>
</Properties>
</file>