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napToGrid w:val="0"/>
        <w:jc w:val="center"/>
        <w:rPr>
          <w:rFonts w:ascii="Arial" w:hAnsi="Arial" w:eastAsia="方正小标宋简体" w:cs="Arial"/>
          <w:color w:val="auto"/>
          <w:sz w:val="72"/>
          <w:szCs w:val="72"/>
        </w:rPr>
      </w:pPr>
    </w:p>
    <w:p>
      <w:pPr>
        <w:pStyle w:val="13"/>
        <w:tabs>
          <w:tab w:val="left" w:pos="312"/>
        </w:tabs>
        <w:snapToGrid w:val="0"/>
        <w:spacing w:line="288" w:lineRule="auto"/>
        <w:jc w:val="center"/>
        <w:rPr>
          <w:rFonts w:ascii="Arial" w:hAnsi="Arial" w:eastAsia="方正小标宋简体" w:cs="Arial"/>
          <w:color w:val="auto"/>
          <w:sz w:val="72"/>
          <w:szCs w:val="72"/>
        </w:rPr>
      </w:pPr>
      <w:bookmarkStart w:id="0" w:name="_Toc16523570"/>
      <w:r>
        <w:rPr>
          <w:rFonts w:hint="eastAsia" w:ascii="Arial" w:hAnsi="Arial" w:eastAsia="方正小标宋简体" w:cs="Arial"/>
          <w:color w:val="auto"/>
          <w:sz w:val="72"/>
          <w:szCs w:val="72"/>
        </w:rPr>
        <w:t>娄底市中心医院院内</w:t>
      </w:r>
    </w:p>
    <w:p>
      <w:pPr>
        <w:pStyle w:val="13"/>
        <w:snapToGrid w:val="0"/>
        <w:jc w:val="center"/>
        <w:rPr>
          <w:rFonts w:ascii="Arial" w:hAnsi="Arial" w:eastAsia="方正小标宋简体" w:cs="Arial"/>
          <w:color w:val="auto"/>
          <w:sz w:val="72"/>
          <w:szCs w:val="72"/>
        </w:rPr>
      </w:pPr>
    </w:p>
    <w:p>
      <w:pPr>
        <w:pStyle w:val="13"/>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招</w:t>
      </w:r>
      <w:bookmarkStart w:id="5" w:name="_GoBack"/>
      <w:bookmarkEnd w:id="5"/>
    </w:p>
    <w:p>
      <w:pPr>
        <w:pStyle w:val="13"/>
        <w:snapToGrid w:val="0"/>
        <w:jc w:val="center"/>
        <w:rPr>
          <w:rFonts w:ascii="Arial" w:hAnsi="Arial" w:eastAsia="方正小标宋简体" w:cs="Arial"/>
          <w:color w:val="auto"/>
          <w:sz w:val="72"/>
          <w:szCs w:val="72"/>
        </w:rPr>
      </w:pPr>
    </w:p>
    <w:p>
      <w:pPr>
        <w:pStyle w:val="13"/>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标</w:t>
      </w:r>
    </w:p>
    <w:p>
      <w:pPr>
        <w:pStyle w:val="13"/>
        <w:snapToGrid w:val="0"/>
        <w:jc w:val="center"/>
        <w:rPr>
          <w:rFonts w:ascii="Arial" w:hAnsi="Arial" w:eastAsia="方正小标宋简体" w:cs="Arial"/>
          <w:color w:val="auto"/>
          <w:sz w:val="72"/>
          <w:szCs w:val="72"/>
        </w:rPr>
      </w:pPr>
    </w:p>
    <w:p>
      <w:pPr>
        <w:pStyle w:val="13"/>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pPr>
        <w:pStyle w:val="13"/>
        <w:snapToGrid w:val="0"/>
        <w:jc w:val="center"/>
        <w:rPr>
          <w:rFonts w:ascii="Arial" w:hAnsi="Arial" w:eastAsia="方正小标宋简体" w:cs="Arial"/>
          <w:color w:val="auto"/>
          <w:sz w:val="72"/>
          <w:szCs w:val="72"/>
        </w:rPr>
      </w:pPr>
    </w:p>
    <w:p>
      <w:pPr>
        <w:pStyle w:val="13"/>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pPr>
        <w:pStyle w:val="13"/>
        <w:snapToGrid w:val="0"/>
        <w:jc w:val="center"/>
        <w:rPr>
          <w:rFonts w:ascii="Arial" w:hAnsi="Arial" w:cs="Arial"/>
          <w:color w:val="auto"/>
          <w:sz w:val="32"/>
          <w:szCs w:val="32"/>
        </w:rPr>
      </w:pPr>
    </w:p>
    <w:p>
      <w:pPr>
        <w:pStyle w:val="13"/>
        <w:snapToGrid w:val="0"/>
        <w:jc w:val="center"/>
        <w:rPr>
          <w:rFonts w:ascii="Arial" w:hAnsi="Arial" w:cs="Arial"/>
          <w:color w:val="auto"/>
          <w:sz w:val="32"/>
          <w:szCs w:val="32"/>
        </w:rPr>
      </w:pPr>
    </w:p>
    <w:p>
      <w:pPr>
        <w:pStyle w:val="13"/>
        <w:snapToGrid w:val="0"/>
        <w:jc w:val="center"/>
        <w:rPr>
          <w:rFonts w:ascii="Arial" w:hAnsi="Arial" w:cs="Arial"/>
          <w:color w:val="auto"/>
          <w:sz w:val="32"/>
          <w:szCs w:val="32"/>
        </w:rPr>
      </w:pPr>
    </w:p>
    <w:p>
      <w:pPr>
        <w:spacing w:line="360" w:lineRule="auto"/>
        <w:rPr>
          <w:rFonts w:hint="eastAsia"/>
          <w:bCs/>
          <w:color w:val="auto"/>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w:t>
      </w:r>
      <w:r>
        <w:rPr>
          <w:rFonts w:hint="eastAsia"/>
          <w:bCs/>
          <w:color w:val="auto"/>
          <w:sz w:val="32"/>
          <w:szCs w:val="32"/>
        </w:rPr>
        <w:t>中心医院</w:t>
      </w:r>
      <w:r>
        <w:rPr>
          <w:rFonts w:hint="eastAsia"/>
          <w:bCs/>
          <w:color w:val="auto"/>
          <w:sz w:val="28"/>
          <w:szCs w:val="28"/>
          <w:lang w:val="en-US" w:eastAsia="zh-CN"/>
        </w:rPr>
        <w:t>120调度和5G院前急救（租赁）</w:t>
      </w:r>
      <w:r>
        <w:rPr>
          <w:rFonts w:hint="eastAsia"/>
          <w:bCs/>
          <w:color w:val="auto"/>
          <w:sz w:val="32"/>
          <w:szCs w:val="32"/>
        </w:rPr>
        <w:t>项目招标文件（院内</w:t>
      </w:r>
      <w:r>
        <w:rPr>
          <w:rFonts w:hint="eastAsia"/>
          <w:bCs/>
          <w:color w:val="auto"/>
          <w:sz w:val="32"/>
          <w:szCs w:val="32"/>
          <w:lang w:eastAsia="zh-CN"/>
        </w:rPr>
        <w:t>公开挂网</w:t>
      </w:r>
      <w:r>
        <w:rPr>
          <w:rFonts w:hint="eastAsia"/>
          <w:bCs/>
          <w:color w:val="auto"/>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p>
    <w:p>
      <w:pPr>
        <w:spacing w:line="320" w:lineRule="exact"/>
        <w:jc w:val="left"/>
        <w:rPr>
          <w:color w:val="auto"/>
          <w:sz w:val="24"/>
        </w:rPr>
      </w:pPr>
    </w:p>
    <w:p>
      <w:pPr>
        <w:spacing w:line="320" w:lineRule="exact"/>
        <w:jc w:val="center"/>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三</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pPr>
        <w:rPr>
          <w:rFonts w:hint="eastAsia" w:ascii="宋体" w:hAnsi="宋体" w:cs="宋体"/>
          <w:color w:val="auto"/>
          <w:sz w:val="44"/>
          <w:szCs w:val="44"/>
          <w:lang w:val="en-US" w:eastAsia="zh-CN"/>
        </w:rPr>
      </w:pPr>
    </w:p>
    <w:p>
      <w:pPr>
        <w:pStyle w:val="3"/>
        <w:numPr>
          <w:ilvl w:val="0"/>
          <w:numId w:val="0"/>
        </w:numPr>
        <w:spacing w:line="240" w:lineRule="auto"/>
        <w:ind w:leftChars="0"/>
        <w:jc w:val="center"/>
        <w:rPr>
          <w:rFonts w:hint="eastAsia" w:ascii="宋体" w:hAnsi="宋体" w:cs="宋体"/>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120调度和5G院前急救（租赁）项目进行挂网招标，将招标事项公告如下：</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一、项目信息</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项目名称：120调度和5G院前急救（租赁）</w:t>
      </w:r>
      <w:r>
        <w:rPr>
          <w:rFonts w:hint="default" w:ascii="宋体" w:hAnsi="宋体" w:eastAsia="宋体" w:cs="宋体"/>
          <w:bCs/>
          <w:color w:val="auto"/>
          <w:sz w:val="24"/>
          <w:szCs w:val="24"/>
          <w:lang w:val="en-US" w:eastAsia="zh-CN"/>
        </w:rPr>
        <w:t>项目</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二、采购方式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院内公开挂网，本项目采用综合评分法，按招标文件第三章评分方法和标准进行评审，以评审结果排序，综合评分得分相同的，按投标报价由低到高顺序排列，得分且投标报价相同的，按技术指标优劣顺序排列。</w:t>
      </w:r>
    </w:p>
    <w:p>
      <w:pPr>
        <w:pStyle w:val="13"/>
        <w:numPr>
          <w:ilvl w:val="0"/>
          <w:numId w:val="0"/>
        </w:numPr>
        <w:tabs>
          <w:tab w:val="left" w:pos="312"/>
        </w:tabs>
        <w:autoSpaceDE w:val="0"/>
        <w:autoSpaceDN w:val="0"/>
        <w:adjustRightInd w:val="0"/>
        <w:snapToGrid w:val="0"/>
        <w:spacing w:line="360" w:lineRule="auto"/>
        <w:ind w:firstLine="480" w:firstLineChars="200"/>
        <w:rPr>
          <w:rFonts w:hint="eastAsia" w:ascii="宋体" w:hAnsi="宋体" w:eastAsia="宋体" w:cs="宋体"/>
          <w:bCs/>
          <w:color w:val="auto"/>
          <w:lang w:val="en-US" w:eastAsia="zh-CN"/>
        </w:rPr>
      </w:pPr>
      <w:r>
        <w:rPr>
          <w:rFonts w:hint="eastAsia" w:ascii="宋体" w:hAnsi="宋体" w:eastAsia="宋体" w:cs="宋体"/>
          <w:bCs/>
          <w:color w:val="auto"/>
          <w:sz w:val="24"/>
          <w:szCs w:val="24"/>
          <w:lang w:val="en-US" w:eastAsia="zh-CN"/>
        </w:rPr>
        <w:t>2、报价要求：本项目应按每月租赁费用报价，具体结算费用以实际租赁时间为准</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三、投标人资格要求</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w:t>
      </w:r>
      <w:r>
        <w:rPr>
          <w:rFonts w:hint="eastAsia" w:ascii="宋体" w:hAnsi="宋体" w:eastAsia="宋体" w:cs="宋体"/>
          <w:bCs/>
          <w:color w:val="FF0000"/>
          <w:sz w:val="24"/>
          <w:szCs w:val="24"/>
          <w:lang w:val="en-US" w:eastAsia="zh-CN"/>
        </w:rPr>
        <w:t>投标人必须是在中华人民共和国境内注册登记的法人、其他组织或者自然人（根据《〈政府采购法实施条例〉释义》，银行、保险、石油石化、电力、电信等有行业特殊情况的，取得营业执照的分支机构可以分公司名义参与投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2、参加政府采购活动近3年内，在经营活动中没有重大违法记录；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3、投标人未列入经营异常名录和未列入严重违法失信企业名单（黑名单），投标人企业法人代表未被列入失信被执行人名单；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4、本项目不接受联合体投标，不得分包、转包；</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5、单位负责人为同一人或者存在直接控股、管理关系的不同投标人，不得参加本次采购活动。</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6、本项目结算前，中标人必须配合我院按合同规定金额完成电子卖场直购程序。</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四、投标截止时间、开标时间及地点：</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1、投标截止时间、开标时间：2023年12月9日15:00</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2、开标地点：投标截止后另行通知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五、招标人地址和联系方法：</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1、招标人名称：娄底市中心医院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2、联系人及联系方式：杨奕欣 13407388405</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3、招标人地址：娄底市中心医院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六、投标须知</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1、否决投标的情形：</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1.1、投标人以他人名义投标、串通投标、以行贿手段谋取中标的；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w:t>
      </w:r>
      <w:r>
        <w:rPr>
          <w:rFonts w:hint="default" w:ascii="宋体" w:hAnsi="宋体" w:eastAsia="宋体" w:cs="宋体"/>
          <w:bCs/>
          <w:color w:val="auto"/>
          <w:sz w:val="24"/>
          <w:szCs w:val="24"/>
          <w:lang w:val="en-US" w:eastAsia="zh-CN"/>
        </w:rPr>
        <w:t>3</w:t>
      </w:r>
      <w:r>
        <w:rPr>
          <w:rFonts w:hint="eastAsia" w:ascii="宋体" w:hAnsi="宋体" w:eastAsia="宋体" w:cs="宋体"/>
          <w:bCs/>
          <w:color w:val="auto"/>
          <w:sz w:val="24"/>
          <w:szCs w:val="24"/>
          <w:lang w:val="en-US" w:eastAsia="zh-CN"/>
        </w:rPr>
        <w:t>、投标人未按照要求出席开标会的；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w:t>
      </w:r>
      <w:r>
        <w:rPr>
          <w:rFonts w:hint="default" w:ascii="宋体" w:hAnsi="宋体" w:eastAsia="宋体" w:cs="宋体"/>
          <w:bCs/>
          <w:color w:val="auto"/>
          <w:sz w:val="24"/>
          <w:szCs w:val="24"/>
          <w:lang w:val="en-US" w:eastAsia="zh-CN"/>
        </w:rPr>
        <w:t>4</w:t>
      </w:r>
      <w:r>
        <w:rPr>
          <w:rFonts w:hint="eastAsia" w:ascii="宋体" w:hAnsi="宋体" w:eastAsia="宋体" w:cs="宋体"/>
          <w:bCs/>
          <w:color w:val="auto"/>
          <w:sz w:val="24"/>
          <w:szCs w:val="24"/>
          <w:lang w:val="en-US" w:eastAsia="zh-CN"/>
        </w:rPr>
        <w:t>、投标报价有错误的，评标委员会将要求投标人作出书面澄清说明和确认，投标人拒不作出澄清说明和确认的；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w:t>
      </w:r>
      <w:r>
        <w:rPr>
          <w:rFonts w:hint="default" w:ascii="宋体" w:hAnsi="宋体" w:eastAsia="宋体" w:cs="宋体"/>
          <w:bCs/>
          <w:color w:val="auto"/>
          <w:sz w:val="24"/>
          <w:szCs w:val="24"/>
          <w:lang w:val="en-US" w:eastAsia="zh-CN"/>
        </w:rPr>
        <w:t>5</w:t>
      </w:r>
      <w:r>
        <w:rPr>
          <w:rFonts w:hint="eastAsia" w:ascii="宋体" w:hAnsi="宋体" w:eastAsia="宋体" w:cs="宋体"/>
          <w:bCs/>
          <w:color w:val="auto"/>
          <w:sz w:val="24"/>
          <w:szCs w:val="24"/>
          <w:lang w:val="en-US" w:eastAsia="zh-CN"/>
        </w:rPr>
        <w:t>、投标文件存在弄虚作假或者隐瞒事实，或者未按照招标文件要求如实提供有关情况和文件，以及证明资料且对投标人有利的，应当否决其投标。被列为中标候选人的，应当取消其中标候选人资格。</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2、有下列情形之一的，招标人将重新招标：</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2.1、投标截止时间止，投标人少于2家的；</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2.2、经评标委员会评审后，符合资格审查的投标人少于2家的。</w:t>
      </w:r>
    </w:p>
    <w:p>
      <w:pPr>
        <w:pStyle w:val="14"/>
        <w:ind w:firstLine="480" w:firstLineChars="200"/>
        <w:jc w:val="both"/>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color w:val="auto"/>
          <w:sz w:val="24"/>
          <w:szCs w:val="24"/>
          <w:lang w:val="en-US" w:eastAsia="zh-CN" w:bidi="ar-SA"/>
        </w:rPr>
        <w:t>3、投标文件的投标报价出现前后不一致的，按照下列规定修正：</w:t>
      </w:r>
    </w:p>
    <w:p>
      <w:pPr>
        <w:pStyle w:val="7"/>
        <w:keepNext w:val="0"/>
        <w:keepLines w:val="0"/>
        <w:pageBreakBefore w:val="0"/>
        <w:widowControl w:val="0"/>
        <w:kinsoku/>
        <w:wordWrap/>
        <w:overflowPunct w:val="0"/>
        <w:topLinePunct w:val="0"/>
        <w:autoSpaceDE/>
        <w:autoSpaceDN/>
        <w:bidi w:val="0"/>
        <w:adjustRightInd w:val="0"/>
        <w:snapToGrid/>
        <w:ind w:left="0" w:leftChars="0" w:firstLine="480" w:firstLineChars="200"/>
        <w:textAlignment w:val="baseline"/>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color w:val="auto"/>
          <w:sz w:val="24"/>
          <w:szCs w:val="24"/>
          <w:lang w:val="en-US" w:eastAsia="zh-CN" w:bidi="ar-SA"/>
        </w:rPr>
        <w:t>3.1投标文件中开标一览表内容与投标文件中相应内容不一致的，以开标一览表为准；</w:t>
      </w:r>
    </w:p>
    <w:p>
      <w:pPr>
        <w:pStyle w:val="7"/>
        <w:keepNext w:val="0"/>
        <w:keepLines w:val="0"/>
        <w:pageBreakBefore w:val="0"/>
        <w:widowControl w:val="0"/>
        <w:kinsoku/>
        <w:wordWrap/>
        <w:overflowPunct w:val="0"/>
        <w:topLinePunct w:val="0"/>
        <w:autoSpaceDE/>
        <w:autoSpaceDN/>
        <w:bidi w:val="0"/>
        <w:adjustRightInd w:val="0"/>
        <w:snapToGrid/>
        <w:ind w:left="0" w:leftChars="0" w:firstLine="480" w:firstLineChars="200"/>
        <w:textAlignment w:val="baseline"/>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color w:val="auto"/>
          <w:sz w:val="24"/>
          <w:szCs w:val="24"/>
          <w:lang w:val="en-US" w:eastAsia="zh-CN" w:bidi="ar-SA"/>
        </w:rPr>
        <w:t>3.2大写金额和小写金额不一致的，以大写金额为准；</w:t>
      </w:r>
    </w:p>
    <w:p>
      <w:pPr>
        <w:pStyle w:val="7"/>
        <w:keepNext w:val="0"/>
        <w:keepLines w:val="0"/>
        <w:pageBreakBefore w:val="0"/>
        <w:widowControl w:val="0"/>
        <w:kinsoku/>
        <w:wordWrap/>
        <w:overflowPunct w:val="0"/>
        <w:topLinePunct w:val="0"/>
        <w:autoSpaceDE/>
        <w:autoSpaceDN/>
        <w:bidi w:val="0"/>
        <w:adjustRightInd w:val="0"/>
        <w:snapToGrid/>
        <w:ind w:left="0" w:leftChars="0" w:firstLine="480" w:firstLineChars="200"/>
        <w:textAlignment w:val="baseline"/>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color w:val="auto"/>
          <w:sz w:val="24"/>
          <w:szCs w:val="24"/>
          <w:lang w:val="en-US" w:eastAsia="zh-CN" w:bidi="ar-SA"/>
        </w:rPr>
        <w:t>3.3总价金额与按单价汇总金额不一致的，以单价金额计算结果为准。</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500" w:lineRule="exact"/>
        <w:ind w:firstLine="480" w:firstLineChars="20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3.4投标文件报价按照前款规定的顺序修正。修正后的报价由投标人代表签字或者加盖单位章确认后产生约束力，投标人不确认的，其投标无效。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bidi="ar-SA"/>
        </w:rPr>
        <w:t>4、对于投标文件中含义不明确、同类问题表述不一致或者有明显文字和计算错误的内容，评标委员会应当以书面形式要求投标人作出必要的澄清、说明或者补正。</w:t>
      </w: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footerReference r:id="rId5" w:type="default"/>
          <w:pgSz w:w="11906" w:h="16838"/>
          <w:pgMar w:top="1191" w:right="1587" w:bottom="1020" w:left="1587" w:header="567" w:footer="283" w:gutter="0"/>
          <w:pgNumType w:fmt="decimal" w:start="1"/>
          <w:cols w:space="720" w:num="1"/>
          <w:docGrid w:linePitch="312" w:charSpace="0"/>
        </w:sectPr>
      </w:pPr>
    </w:p>
    <w:p>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1.项目</w:t>
      </w:r>
      <w:r>
        <w:rPr>
          <w:rFonts w:hint="default" w:ascii="仿宋_GB2312" w:hAnsi="Times New Roman" w:eastAsia="仿宋_GB2312" w:cs="仿宋_GB2312"/>
          <w:bCs/>
          <w:color w:val="auto"/>
          <w:kern w:val="0"/>
          <w:sz w:val="28"/>
          <w:szCs w:val="28"/>
          <w:lang w:val="en-US" w:eastAsia="zh-CN" w:bidi="ar-SA"/>
        </w:rPr>
        <w:t>内容</w:t>
      </w:r>
    </w:p>
    <w:tbl>
      <w:tblPr>
        <w:tblStyle w:val="11"/>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5300"/>
        <w:gridCol w:w="1399"/>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53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3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租赁时间</w:t>
            </w:r>
            <w:r>
              <w:rPr>
                <w:rFonts w:hint="eastAsia" w:ascii="仿宋_GB2312" w:eastAsia="仿宋_GB2312" w:cs="仿宋_GB2312"/>
                <w:bCs/>
                <w:color w:val="auto"/>
                <w:kern w:val="0"/>
                <w:sz w:val="28"/>
                <w:szCs w:val="28"/>
                <w:lang w:val="en-US" w:eastAsia="zh-CN" w:bidi="ar-SA"/>
              </w:rPr>
              <w:t>（月）</w:t>
            </w:r>
          </w:p>
        </w:tc>
        <w:tc>
          <w:tcPr>
            <w:tcW w:w="18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53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120调度指挥中心</w:t>
            </w:r>
            <w:r>
              <w:rPr>
                <w:rFonts w:hint="eastAsia" w:ascii="仿宋_GB2312" w:eastAsia="仿宋_GB2312" w:cs="仿宋_GB2312"/>
                <w:bCs/>
                <w:color w:val="auto"/>
                <w:kern w:val="0"/>
                <w:sz w:val="28"/>
                <w:szCs w:val="28"/>
                <w:u w:val="none"/>
                <w:lang w:val="en-US" w:eastAsia="zh-CN" w:bidi="ar-SA"/>
              </w:rPr>
              <w:t>和5G院前急救系统</w:t>
            </w:r>
            <w:r>
              <w:rPr>
                <w:rFonts w:hint="default" w:ascii="仿宋_GB2312" w:eastAsia="仿宋_GB2312" w:cs="仿宋_GB2312"/>
                <w:bCs/>
                <w:color w:val="auto"/>
                <w:kern w:val="0"/>
                <w:sz w:val="28"/>
                <w:szCs w:val="28"/>
                <w:u w:val="none"/>
                <w:lang w:val="en-US" w:eastAsia="zh-CN" w:bidi="ar-SA"/>
              </w:rPr>
              <w:t>租赁</w:t>
            </w:r>
          </w:p>
        </w:tc>
        <w:tc>
          <w:tcPr>
            <w:tcW w:w="13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p>
        </w:tc>
        <w:tc>
          <w:tcPr>
            <w:tcW w:w="18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4000元/月</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w:t>
      </w:r>
      <w:r>
        <w:rPr>
          <w:rFonts w:hint="eastAsia" w:ascii="仿宋_GB2312" w:eastAsia="仿宋_GB2312" w:cs="仿宋_GB2312"/>
          <w:bCs/>
          <w:color w:val="auto"/>
          <w:kern w:val="0"/>
          <w:sz w:val="28"/>
          <w:szCs w:val="28"/>
          <w:lang w:val="en-US" w:eastAsia="zh-CN" w:bidi="ar-SA"/>
        </w:rPr>
        <w:t>开始到租赁服务结束止,以实际的时间为准。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（以下内容必须全部满足，否则视为无效投标）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1、满足</w:t>
      </w:r>
      <w:r>
        <w:rPr>
          <w:rFonts w:hint="eastAsia" w:ascii="仿宋_GB2312" w:hAnsi="Times New Roman" w:eastAsia="仿宋_GB2312" w:cs="仿宋_GB2312"/>
          <w:bCs/>
          <w:color w:val="auto"/>
          <w:kern w:val="0"/>
          <w:sz w:val="28"/>
          <w:szCs w:val="28"/>
          <w:lang w:val="en-US" w:eastAsia="zh-CN" w:bidi="ar-SA"/>
        </w:rPr>
        <w:t>《湘卫医发〔2023〕9号 湖南省卫生健康委关于印发湖南省 5G 智慧化急救体系建设的工作方案的通知》的文件要求。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2、满足《关于印发《湖南省5G智慧化急救体系建设指南》的通知》的文件要求。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3、1个120调度中心、4个调度坐席、1个急救分站、7台救护车改造为建设标准。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4、租赁建设与上线使用必须在2023年12月31日之前完成。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default" w:ascii="仿宋_GB2312" w:eastAsia="仿宋_GB2312" w:cs="仿宋_GB2312"/>
          <w:bCs/>
          <w:color w:val="auto"/>
          <w:kern w:val="0"/>
          <w:sz w:val="28"/>
          <w:szCs w:val="28"/>
          <w:lang w:val="en-US" w:eastAsia="zh-CN" w:bidi="ar-SA"/>
        </w:rPr>
        <w:t>招标人</w:t>
      </w:r>
      <w:r>
        <w:rPr>
          <w:rFonts w:hint="eastAsia" w:ascii="仿宋_GB2312" w:eastAsia="仿宋_GB2312" w:cs="仿宋_GB2312"/>
          <w:bCs/>
          <w:color w:val="auto"/>
          <w:kern w:val="0"/>
          <w:sz w:val="28"/>
          <w:szCs w:val="28"/>
          <w:lang w:val="en-US" w:eastAsia="zh-CN" w:bidi="ar-SA"/>
        </w:rPr>
        <w:t>只</w:t>
      </w:r>
      <w:r>
        <w:rPr>
          <w:rFonts w:hint="default" w:ascii="仿宋_GB2312" w:eastAsia="仿宋_GB2312" w:cs="仿宋_GB2312"/>
          <w:bCs/>
          <w:color w:val="auto"/>
          <w:kern w:val="0"/>
          <w:sz w:val="28"/>
          <w:szCs w:val="28"/>
          <w:lang w:val="en-US" w:eastAsia="zh-CN" w:bidi="ar-SA"/>
        </w:rPr>
        <w:t>支付</w:t>
      </w:r>
      <w:r>
        <w:rPr>
          <w:rFonts w:hint="eastAsia" w:ascii="仿宋_GB2312" w:eastAsia="仿宋_GB2312" w:cs="仿宋_GB2312"/>
          <w:bCs/>
          <w:color w:val="auto"/>
          <w:kern w:val="0"/>
          <w:sz w:val="28"/>
          <w:szCs w:val="28"/>
          <w:lang w:val="en-US" w:eastAsia="zh-CN" w:bidi="ar-SA"/>
        </w:rPr>
        <w:t>租赁费用，</w:t>
      </w:r>
      <w:r>
        <w:rPr>
          <w:rFonts w:hint="default" w:ascii="仿宋_GB2312" w:eastAsia="仿宋_GB2312" w:cs="仿宋_GB2312"/>
          <w:bCs/>
          <w:color w:val="auto"/>
          <w:kern w:val="0"/>
          <w:sz w:val="28"/>
          <w:szCs w:val="28"/>
          <w:lang w:val="en-US" w:eastAsia="zh-CN" w:bidi="ar-SA"/>
        </w:rPr>
        <w:t>租赁</w:t>
      </w:r>
      <w:r>
        <w:rPr>
          <w:rFonts w:hint="eastAsia" w:ascii="仿宋_GB2312" w:eastAsia="仿宋_GB2312" w:cs="仿宋_GB2312"/>
          <w:bCs/>
          <w:color w:val="auto"/>
          <w:kern w:val="0"/>
          <w:sz w:val="28"/>
          <w:szCs w:val="28"/>
          <w:lang w:val="en-US" w:eastAsia="zh-CN" w:bidi="ar-SA"/>
        </w:rPr>
        <w:t>项目实施和拆除产生的其他所有费用一律由中标人负责。</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6、租赁期限从租赁系统验收完成并上线使用开始，到项目租赁结束止，暂估租赁时间为七个月，具体时间以甲方通知为准。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7、租赁费用在租赁服务结束后结算，以实际的租赁时间计算总费用，如</w:t>
      </w:r>
      <w:r>
        <w:rPr>
          <w:rFonts w:hint="eastAsia" w:ascii="仿宋_GB2312" w:hAnsi="Times New Roman" w:eastAsia="仿宋_GB2312" w:cs="仿宋_GB2312"/>
          <w:bCs/>
          <w:color w:val="FF0000"/>
          <w:kern w:val="0"/>
          <w:sz w:val="28"/>
          <w:szCs w:val="28"/>
          <w:lang w:val="en-US" w:eastAsia="zh-CN"/>
        </w:rPr>
        <w:t>停止租用时，如租用时间不满</w:t>
      </w:r>
      <w:r>
        <w:rPr>
          <w:rFonts w:hint="eastAsia" w:ascii="仿宋_GB2312" w:hAnsi="Times New Roman" w:eastAsia="仿宋_GB2312" w:cs="仿宋_GB2312"/>
          <w:bCs/>
          <w:color w:val="FF0000"/>
          <w:kern w:val="0"/>
          <w:sz w:val="28"/>
          <w:szCs w:val="28"/>
          <w:u w:val="none"/>
          <w:lang w:val="en-US" w:eastAsia="zh-CN"/>
        </w:rPr>
        <w:t xml:space="preserve"> 20 </w:t>
      </w:r>
      <w:r>
        <w:rPr>
          <w:rFonts w:hint="eastAsia" w:ascii="仿宋_GB2312" w:hAnsi="Times New Roman" w:eastAsia="仿宋_GB2312" w:cs="仿宋_GB2312"/>
          <w:bCs/>
          <w:color w:val="FF0000"/>
          <w:kern w:val="0"/>
          <w:sz w:val="28"/>
          <w:szCs w:val="28"/>
          <w:lang w:val="en-US" w:eastAsia="zh-CN"/>
        </w:rPr>
        <w:t>日，该月租用费用不再计算；如租用时间达</w:t>
      </w:r>
      <w:r>
        <w:rPr>
          <w:rFonts w:hint="eastAsia" w:ascii="仿宋_GB2312" w:hAnsi="Times New Roman" w:eastAsia="仿宋_GB2312" w:cs="仿宋_GB2312"/>
          <w:bCs/>
          <w:color w:val="FF0000"/>
          <w:kern w:val="0"/>
          <w:sz w:val="28"/>
          <w:szCs w:val="28"/>
          <w:u w:val="none"/>
          <w:lang w:val="en-US" w:eastAsia="zh-CN"/>
        </w:rPr>
        <w:t xml:space="preserve"> 20 </w:t>
      </w:r>
      <w:r>
        <w:rPr>
          <w:rFonts w:hint="eastAsia" w:ascii="仿宋_GB2312" w:hAnsi="Times New Roman" w:eastAsia="仿宋_GB2312" w:cs="仿宋_GB2312"/>
          <w:bCs/>
          <w:color w:val="FF0000"/>
          <w:kern w:val="0"/>
          <w:sz w:val="28"/>
          <w:szCs w:val="28"/>
          <w:lang w:val="en-US" w:eastAsia="zh-CN"/>
        </w:rPr>
        <w:t>日及以上，按月租用费用全额计算该月费用。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4、如投标人不是法定代表人或非独立法人投标人的负责人，须持法定代表人或非独立法人投标人的负责人</w:t>
      </w:r>
      <w:r>
        <w:rPr>
          <w:rFonts w:hint="eastAsia" w:ascii="仿宋_GB2312" w:eastAsia="仿宋_GB2312" w:cs="仿宋_GB2312"/>
          <w:bCs/>
          <w:color w:val="auto"/>
          <w:kern w:val="0"/>
          <w:sz w:val="28"/>
          <w:szCs w:val="28"/>
          <w:lang w:val="en-US" w:eastAsia="zh-CN" w:bidi="ar-SA"/>
        </w:rPr>
        <w:t>的</w:t>
      </w:r>
      <w:r>
        <w:rPr>
          <w:rFonts w:hint="eastAsia" w:ascii="仿宋_GB2312" w:hAnsi="Times New Roman" w:eastAsia="仿宋_GB2312" w:cs="仿宋_GB2312"/>
          <w:bCs/>
          <w:color w:val="auto"/>
          <w:kern w:val="0"/>
          <w:sz w:val="28"/>
          <w:szCs w:val="28"/>
          <w:lang w:val="en-US" w:eastAsia="zh-CN" w:bidi="ar-SA"/>
        </w:rPr>
        <w:t>亲笔签名的授权委托书,并提供法定代表人或非独立法人投标人的负责人</w:t>
      </w:r>
      <w:r>
        <w:rPr>
          <w:rFonts w:hint="eastAsia" w:ascii="仿宋_GB2312" w:eastAsia="仿宋_GB2312" w:cs="仿宋_GB2312"/>
          <w:bCs/>
          <w:color w:val="auto"/>
          <w:kern w:val="0"/>
          <w:sz w:val="28"/>
          <w:szCs w:val="28"/>
          <w:lang w:val="en-US" w:eastAsia="zh-CN" w:bidi="ar-SA"/>
        </w:rPr>
        <w:t>的</w:t>
      </w:r>
      <w:r>
        <w:rPr>
          <w:rFonts w:hint="eastAsia" w:ascii="仿宋_GB2312" w:hAnsi="Times New Roman" w:eastAsia="仿宋_GB2312" w:cs="仿宋_GB2312"/>
          <w:bCs/>
          <w:color w:val="auto"/>
          <w:kern w:val="0"/>
          <w:sz w:val="28"/>
          <w:szCs w:val="28"/>
          <w:lang w:val="en-US" w:eastAsia="zh-CN" w:bidi="ar-SA"/>
        </w:rPr>
        <w:t>身份证明和法定代表人或非独立法人投标人的负责人</w:t>
      </w:r>
      <w:r>
        <w:rPr>
          <w:rFonts w:hint="eastAsia" w:ascii="仿宋_GB2312" w:eastAsia="仿宋_GB2312" w:cs="仿宋_GB2312"/>
          <w:bCs/>
          <w:color w:val="auto"/>
          <w:kern w:val="0"/>
          <w:sz w:val="28"/>
          <w:szCs w:val="28"/>
          <w:lang w:val="en-US" w:eastAsia="zh-CN" w:bidi="ar-SA"/>
        </w:rPr>
        <w:t>的</w:t>
      </w:r>
      <w:r>
        <w:rPr>
          <w:rFonts w:hint="eastAsia" w:ascii="仿宋_GB2312" w:hAnsi="Times New Roman" w:eastAsia="仿宋_GB2312" w:cs="仿宋_GB2312"/>
          <w:bCs/>
          <w:color w:val="auto"/>
          <w:kern w:val="0"/>
          <w:sz w:val="28"/>
          <w:szCs w:val="28"/>
          <w:lang w:val="en-US" w:eastAsia="zh-CN" w:bidi="ar-SA"/>
        </w:rPr>
        <w:t>身份证复印件</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sectPr>
          <w:pgSz w:w="11906" w:h="16838"/>
          <w:pgMar w:top="1191" w:right="1587" w:bottom="1020" w:left="1587" w:header="567" w:footer="283" w:gutter="0"/>
          <w:pgNumType w:fmt="decimal"/>
          <w:cols w:space="720" w:num="1"/>
          <w:docGrid w:linePitch="312" w:charSpace="0"/>
        </w:sectPr>
      </w:pPr>
    </w:p>
    <w:p>
      <w:pPr>
        <w:pStyle w:val="3"/>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pPr>
        <w:adjustRightInd w:val="0"/>
        <w:snapToGrid w:val="0"/>
        <w:spacing w:line="360" w:lineRule="auto"/>
        <w:jc w:val="center"/>
        <w:rPr>
          <w:rFonts w:hint="eastAsia" w:ascii="宋体" w:hAnsi="宋体" w:cs="宋体"/>
          <w:b/>
          <w:color w:val="auto"/>
          <w:sz w:val="36"/>
        </w:rPr>
      </w:pPr>
      <w:r>
        <w:rPr>
          <w:rFonts w:hint="eastAsia" w:ascii="宋体" w:hAnsi="宋体" w:cs="宋体"/>
          <w:b/>
          <w:color w:val="auto"/>
          <w:sz w:val="36"/>
        </w:rPr>
        <w:t>投标人综合评分表</w:t>
      </w:r>
    </w:p>
    <w:tbl>
      <w:tblPr>
        <w:tblStyle w:val="11"/>
        <w:tblpPr w:leftFromText="180" w:rightFromText="180" w:vertAnchor="text" w:tblpXSpec="center" w:tblpY="1"/>
        <w:tblOverlap w:val="never"/>
        <w:tblW w:w="5282"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60"/>
        <w:gridCol w:w="949"/>
        <w:gridCol w:w="1464"/>
        <w:gridCol w:w="5754"/>
        <w:gridCol w:w="72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6" w:type="pct"/>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76" w:type="pct"/>
            <w:gridSpan w:val="2"/>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评审项目</w:t>
            </w:r>
          </w:p>
        </w:tc>
        <w:tc>
          <w:tcPr>
            <w:tcW w:w="3042" w:type="pct"/>
            <w:vAlign w:val="center"/>
          </w:tcPr>
          <w:p>
            <w:pPr>
              <w:ind w:left="480"/>
              <w:jc w:val="center"/>
              <w:rPr>
                <w:rFonts w:hint="eastAsia" w:ascii="宋体" w:hAnsi="宋体" w:eastAsia="宋体" w:cs="宋体"/>
                <w:color w:val="auto"/>
                <w:sz w:val="24"/>
                <w:szCs w:val="24"/>
              </w:rPr>
            </w:pPr>
            <w:r>
              <w:rPr>
                <w:rFonts w:hint="eastAsia" w:ascii="宋体" w:hAnsi="宋体" w:eastAsia="宋体" w:cs="宋体"/>
                <w:color w:val="auto"/>
                <w:sz w:val="24"/>
                <w:szCs w:val="24"/>
              </w:rPr>
              <w:t>评审标准</w:t>
            </w:r>
          </w:p>
        </w:tc>
        <w:tc>
          <w:tcPr>
            <w:tcW w:w="384" w:type="pct"/>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最高分值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5" w:hRule="atLeast"/>
          <w:jc w:val="center"/>
        </w:trPr>
        <w:tc>
          <w:tcPr>
            <w:tcW w:w="296" w:type="pct"/>
            <w:vAlign w:val="center"/>
          </w:tcPr>
          <w:p>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502" w:type="pct"/>
            <w:vAlign w:val="center"/>
          </w:tcPr>
          <w:p>
            <w:pPr>
              <w:spacing w:line="36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highlight w:val="none"/>
              </w:rPr>
              <w:t>价格（</w:t>
            </w:r>
            <w:r>
              <w:rPr>
                <w:rFonts w:hint="eastAsia" w:ascii="宋体" w:hAnsi="宋体" w:cs="宋体"/>
                <w:color w:val="FF0000"/>
                <w:sz w:val="24"/>
                <w:szCs w:val="24"/>
                <w:highlight w:val="none"/>
                <w:lang w:val="en-US" w:eastAsia="zh-CN"/>
              </w:rPr>
              <w:t>10</w:t>
            </w:r>
            <w:r>
              <w:rPr>
                <w:rFonts w:hint="eastAsia" w:ascii="宋体" w:hAnsi="宋体" w:eastAsia="宋体" w:cs="宋体"/>
                <w:color w:val="FF0000"/>
                <w:sz w:val="24"/>
                <w:szCs w:val="24"/>
                <w:highlight w:val="none"/>
              </w:rPr>
              <w:t>分）</w:t>
            </w:r>
          </w:p>
        </w:tc>
        <w:tc>
          <w:tcPr>
            <w:tcW w:w="774" w:type="pct"/>
            <w:vAlign w:val="center"/>
          </w:tcPr>
          <w:p>
            <w:pPr>
              <w:spacing w:line="36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highlight w:val="none"/>
                <w:lang w:val="en-US" w:eastAsia="zh-CN"/>
              </w:rPr>
              <w:t>招标价格</w:t>
            </w:r>
          </w:p>
        </w:tc>
        <w:tc>
          <w:tcPr>
            <w:tcW w:w="3042" w:type="pct"/>
            <w:vAlign w:val="center"/>
          </w:tcPr>
          <w:p>
            <w:pPr>
              <w:spacing w:line="300" w:lineRule="exact"/>
              <w:jc w:val="both"/>
              <w:rPr>
                <w:rFonts w:hint="default" w:ascii="宋体" w:hAnsi="宋体" w:eastAsia="宋体" w:cs="宋体"/>
                <w:color w:val="FF0000"/>
                <w:sz w:val="21"/>
                <w:szCs w:val="21"/>
                <w:lang w:val="en-US"/>
              </w:rPr>
            </w:pPr>
            <w:r>
              <w:rPr>
                <w:rFonts w:hint="eastAsia" w:ascii="宋体" w:hAnsi="宋体" w:eastAsia="宋体" w:cs="宋体"/>
                <w:color w:val="FF0000"/>
                <w:szCs w:val="21"/>
                <w:lang w:val="en-US" w:eastAsia="zh-CN"/>
              </w:rPr>
              <w:t>满足招标文件所有要求，且</w:t>
            </w:r>
            <w:r>
              <w:rPr>
                <w:rFonts w:hint="eastAsia" w:ascii="宋体" w:hAnsi="宋体" w:cs="宋体"/>
                <w:color w:val="FF0000"/>
                <w:szCs w:val="21"/>
                <w:lang w:val="en-US" w:eastAsia="zh-CN"/>
              </w:rPr>
              <w:t>最终投标价格最低的投标报价为评标基准价，其价格分为满分，其他有效投标人的价格分按照下列公式计算：投标报价得分 = （评标基准价 / 最终投标报价）</w:t>
            </w:r>
            <w:r>
              <w:rPr>
                <w:rFonts w:hint="eastAsia" w:ascii="宋体" w:hAnsi="宋体" w:eastAsia="宋体" w:cs="宋体"/>
                <w:color w:val="FF0000"/>
                <w:szCs w:val="21"/>
              </w:rPr>
              <w:t>×</w:t>
            </w:r>
            <w:r>
              <w:rPr>
                <w:rFonts w:hint="eastAsia" w:ascii="宋体" w:hAnsi="宋体" w:cs="宋体"/>
                <w:color w:val="FF0000"/>
                <w:szCs w:val="21"/>
                <w:lang w:val="en-US" w:eastAsia="zh-CN"/>
              </w:rPr>
              <w:t xml:space="preserve"> 10。</w:t>
            </w:r>
          </w:p>
        </w:tc>
        <w:tc>
          <w:tcPr>
            <w:tcW w:w="384" w:type="pct"/>
            <w:vAlign w:val="center"/>
          </w:tcPr>
          <w:p>
            <w:pPr>
              <w:spacing w:line="360" w:lineRule="auto"/>
              <w:jc w:val="center"/>
              <w:rPr>
                <w:rFonts w:hint="eastAsia" w:ascii="宋体" w:hAnsi="宋体" w:eastAsia="宋体" w:cs="宋体"/>
                <w:color w:val="FF0000"/>
                <w:sz w:val="24"/>
                <w:szCs w:val="24"/>
              </w:rPr>
            </w:pPr>
            <w:r>
              <w:rPr>
                <w:rFonts w:hint="eastAsia" w:ascii="宋体" w:hAnsi="宋体" w:cs="宋体"/>
                <w:color w:val="FF0000"/>
                <w:sz w:val="24"/>
                <w:szCs w:val="24"/>
                <w:highlight w:val="none"/>
                <w:lang w:val="en-US" w:eastAsia="zh-CN"/>
              </w:rPr>
              <w:t>1</w:t>
            </w:r>
            <w:r>
              <w:rPr>
                <w:rFonts w:hint="eastAsia" w:ascii="宋体" w:hAnsi="宋体" w:eastAsia="宋体" w:cs="宋体"/>
                <w:color w:val="FF0000"/>
                <w:sz w:val="24"/>
                <w:szCs w:val="24"/>
                <w:highlight w:val="none"/>
                <w:lang w:val="en-US" w:eastAsia="zh-CN"/>
              </w:rPr>
              <w:t>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296" w:type="pct"/>
            <w:vMerge w:val="restart"/>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02" w:type="pct"/>
            <w:vMerge w:val="restart"/>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商务</w:t>
            </w:r>
          </w:p>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30</w:t>
            </w:r>
            <w:r>
              <w:rPr>
                <w:rFonts w:hint="eastAsia" w:ascii="宋体" w:hAnsi="宋体" w:eastAsia="宋体" w:cs="宋体"/>
                <w:color w:val="auto"/>
                <w:sz w:val="24"/>
                <w:szCs w:val="24"/>
              </w:rPr>
              <w:t>分）</w:t>
            </w:r>
          </w:p>
        </w:tc>
        <w:tc>
          <w:tcPr>
            <w:tcW w:w="774" w:type="pct"/>
            <w:vAlign w:val="center"/>
          </w:tcPr>
          <w:p>
            <w:pPr>
              <w:adjustRightInd w:val="0"/>
              <w:snapToGrid w:val="0"/>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投标文件</w:t>
            </w:r>
          </w:p>
        </w:tc>
        <w:tc>
          <w:tcPr>
            <w:tcW w:w="3042" w:type="pct"/>
            <w:vAlign w:val="center"/>
          </w:tcPr>
          <w:p>
            <w:pPr>
              <w:spacing w:line="300" w:lineRule="exact"/>
              <w:jc w:val="both"/>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投标文件包含招标文件中要求的全部内容，计</w:t>
            </w:r>
            <w:r>
              <w:rPr>
                <w:rFonts w:hint="eastAsia" w:ascii="宋体" w:hAnsi="宋体" w:cs="宋体"/>
                <w:color w:val="auto"/>
                <w:szCs w:val="21"/>
                <w:lang w:val="en-US" w:eastAsia="zh-CN"/>
              </w:rPr>
              <w:t>10</w:t>
            </w:r>
            <w:r>
              <w:rPr>
                <w:rFonts w:hint="eastAsia" w:ascii="宋体" w:hAnsi="宋体" w:eastAsia="宋体" w:cs="宋体"/>
                <w:color w:val="auto"/>
                <w:szCs w:val="21"/>
                <w:lang w:val="en-US" w:eastAsia="zh-CN"/>
              </w:rPr>
              <w:t>分；未满足全部要求的，计0分。</w:t>
            </w:r>
          </w:p>
        </w:tc>
        <w:tc>
          <w:tcPr>
            <w:tcW w:w="38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资质证书</w:t>
            </w:r>
          </w:p>
        </w:tc>
        <w:tc>
          <w:tcPr>
            <w:tcW w:w="3042" w:type="pct"/>
            <w:vAlign w:val="center"/>
          </w:tcPr>
          <w:p>
            <w:pPr>
              <w:spacing w:line="300" w:lineRule="exact"/>
              <w:jc w:val="both"/>
              <w:rPr>
                <w:rFonts w:hint="eastAsia" w:ascii="宋体" w:hAnsi="宋体" w:eastAsia="宋体" w:cs="宋体"/>
                <w:color w:val="auto"/>
                <w:szCs w:val="21"/>
              </w:rPr>
            </w:pPr>
            <w:r>
              <w:rPr>
                <w:rFonts w:hint="eastAsia" w:ascii="宋体" w:hAnsi="宋体" w:eastAsia="宋体" w:cs="宋体"/>
                <w:color w:val="auto"/>
                <w:szCs w:val="21"/>
              </w:rPr>
              <w:t>提供与本项目产品有关的软件著作权证书：</w:t>
            </w:r>
          </w:p>
          <w:p>
            <w:pPr>
              <w:spacing w:line="300" w:lineRule="exact"/>
              <w:rPr>
                <w:rFonts w:hint="eastAsia" w:ascii="宋体" w:hAnsi="宋体" w:eastAsia="宋体" w:cs="宋体"/>
                <w:i w:val="0"/>
                <w:iCs w:val="0"/>
                <w:snapToGrid/>
                <w:color w:val="auto"/>
                <w:kern w:val="2"/>
                <w:sz w:val="21"/>
                <w:szCs w:val="21"/>
                <w:u w:val="none"/>
                <w:shd w:val="clear" w:color="auto" w:fill="auto"/>
                <w:lang w:val="en-US" w:eastAsia="zh-CN"/>
              </w:rPr>
            </w:pPr>
            <w:r>
              <w:rPr>
                <w:rFonts w:hint="eastAsia" w:ascii="宋体" w:hAnsi="宋体" w:cs="宋体"/>
                <w:color w:val="auto"/>
                <w:szCs w:val="21"/>
                <w:lang w:val="en-US" w:eastAsia="zh-CN"/>
              </w:rPr>
              <w:t>软件著作权范围包括：（1）120调度指挥、（2）院内预告、（3）院前急救、（4）远程会诊、（5）院前院内一体化，每包含一个计1分，最多5分。</w:t>
            </w:r>
          </w:p>
          <w:p>
            <w:pPr>
              <w:spacing w:line="300" w:lineRule="exact"/>
              <w:rPr>
                <w:rFonts w:hint="eastAsia" w:ascii="宋体" w:hAnsi="宋体" w:cs="宋体"/>
                <w:i w:val="0"/>
                <w:iCs w:val="0"/>
                <w:snapToGrid/>
                <w:color w:val="auto"/>
                <w:kern w:val="2"/>
                <w:sz w:val="21"/>
                <w:szCs w:val="21"/>
                <w:u w:val="none"/>
                <w:shd w:val="clear" w:color="auto" w:fill="auto"/>
                <w:lang w:val="en-US" w:eastAsia="zh-CN"/>
              </w:rPr>
            </w:pPr>
            <w:r>
              <w:rPr>
                <w:rFonts w:hint="eastAsia" w:ascii="宋体" w:hAnsi="宋体" w:eastAsia="宋体" w:cs="宋体"/>
                <w:i w:val="0"/>
                <w:iCs w:val="0"/>
                <w:snapToGrid/>
                <w:color w:val="auto"/>
                <w:kern w:val="2"/>
                <w:sz w:val="21"/>
                <w:szCs w:val="21"/>
                <w:u w:val="none"/>
                <w:shd w:val="clear" w:color="auto" w:fill="auto"/>
                <w:lang w:val="en-US" w:eastAsia="zh-CN"/>
              </w:rPr>
              <w:t>（</w:t>
            </w:r>
            <w:r>
              <w:rPr>
                <w:rFonts w:hint="eastAsia" w:ascii="宋体" w:hAnsi="宋体" w:cs="宋体"/>
                <w:i w:val="0"/>
                <w:iCs w:val="0"/>
                <w:snapToGrid/>
                <w:color w:val="auto"/>
                <w:kern w:val="2"/>
                <w:sz w:val="21"/>
                <w:szCs w:val="21"/>
                <w:u w:val="none"/>
                <w:shd w:val="clear" w:color="auto" w:fill="auto"/>
                <w:lang w:val="en-US" w:eastAsia="zh-CN"/>
              </w:rPr>
              <w:t>若一个软件著作权证书包含3个范围，计3分；</w:t>
            </w:r>
          </w:p>
          <w:p>
            <w:pPr>
              <w:spacing w:line="300" w:lineRule="exact"/>
              <w:rPr>
                <w:rFonts w:hint="default" w:ascii="宋体" w:hAnsi="宋体" w:cs="宋体"/>
                <w:color w:val="auto"/>
                <w:szCs w:val="21"/>
                <w:lang w:val="en-US" w:eastAsia="zh-CN"/>
              </w:rPr>
            </w:pPr>
            <w:r>
              <w:rPr>
                <w:rFonts w:hint="eastAsia" w:ascii="宋体" w:hAnsi="宋体" w:eastAsia="宋体" w:cs="宋体"/>
                <w:i w:val="0"/>
                <w:iCs w:val="0"/>
                <w:snapToGrid/>
                <w:color w:val="auto"/>
                <w:kern w:val="2"/>
                <w:sz w:val="21"/>
                <w:szCs w:val="21"/>
                <w:u w:val="none"/>
                <w:shd w:val="clear" w:color="auto" w:fill="auto"/>
                <w:lang w:val="en-US" w:eastAsia="zh-CN"/>
              </w:rPr>
              <w:t>须提供软件著作权证书复印件并加盖投标人公章，</w:t>
            </w:r>
            <w:r>
              <w:rPr>
                <w:rFonts w:hint="default" w:ascii="宋体" w:hAnsi="宋体" w:eastAsia="宋体" w:cs="宋体"/>
                <w:i w:val="0"/>
                <w:iCs w:val="0"/>
                <w:snapToGrid/>
                <w:color w:val="auto"/>
                <w:kern w:val="2"/>
                <w:sz w:val="21"/>
                <w:szCs w:val="21"/>
                <w:u w:val="none"/>
                <w:shd w:val="clear" w:color="auto" w:fill="auto"/>
                <w:lang w:val="en-US" w:eastAsia="zh-CN"/>
              </w:rPr>
              <w:t>证书需在有效期内</w:t>
            </w:r>
            <w:r>
              <w:rPr>
                <w:rFonts w:hint="eastAsia" w:ascii="宋体" w:hAnsi="宋体" w:eastAsia="宋体" w:cs="宋体"/>
                <w:i w:val="0"/>
                <w:iCs w:val="0"/>
                <w:snapToGrid/>
                <w:color w:val="auto"/>
                <w:kern w:val="2"/>
                <w:sz w:val="21"/>
                <w:szCs w:val="21"/>
                <w:u w:val="none"/>
                <w:shd w:val="clear" w:color="auto" w:fill="auto"/>
                <w:lang w:val="en-US" w:eastAsia="zh-CN"/>
              </w:rPr>
              <w:t>，否则不得分)。</w:t>
            </w:r>
          </w:p>
        </w:tc>
        <w:tc>
          <w:tcPr>
            <w:tcW w:w="38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00" w:lineRule="exact"/>
              <w:jc w:val="center"/>
              <w:rPr>
                <w:rFonts w:hint="eastAsia" w:ascii="宋体" w:hAnsi="宋体" w:eastAsia="宋体" w:cs="宋体"/>
                <w:color w:val="auto"/>
                <w:sz w:val="21"/>
                <w:szCs w:val="21"/>
                <w:lang w:val="en-US" w:eastAsia="zh-CN"/>
              </w:rPr>
            </w:pPr>
            <w:r>
              <w:rPr>
                <w:rFonts w:hint="eastAsia" w:ascii="宋体" w:hAnsi="宋体" w:cs="宋体"/>
                <w:color w:val="auto"/>
                <w:sz w:val="24"/>
                <w:szCs w:val="24"/>
                <w:lang w:val="en-US" w:eastAsia="zh-CN"/>
              </w:rPr>
              <w:t>安全</w:t>
            </w:r>
            <w:r>
              <w:rPr>
                <w:rFonts w:hint="eastAsia" w:ascii="宋体" w:hAnsi="宋体" w:eastAsia="宋体" w:cs="宋体"/>
                <w:color w:val="auto"/>
                <w:sz w:val="24"/>
                <w:szCs w:val="24"/>
                <w:lang w:val="en-US" w:eastAsia="zh-CN"/>
              </w:rPr>
              <w:t>实力</w:t>
            </w:r>
          </w:p>
        </w:tc>
        <w:tc>
          <w:tcPr>
            <w:tcW w:w="3042" w:type="pct"/>
            <w:vAlign w:val="center"/>
          </w:tcPr>
          <w:p>
            <w:pPr>
              <w:spacing w:line="300" w:lineRule="exact"/>
              <w:jc w:val="both"/>
              <w:rPr>
                <w:rFonts w:hint="eastAsia" w:ascii="宋体" w:hAnsi="宋体" w:eastAsia="宋体" w:cs="宋体"/>
                <w:bCs w:val="0"/>
                <w:color w:val="auto"/>
                <w:sz w:val="21"/>
                <w:szCs w:val="21"/>
              </w:rPr>
            </w:pPr>
            <w:r>
              <w:rPr>
                <w:rFonts w:hint="eastAsia" w:ascii="宋体" w:hAnsi="宋体" w:cs="宋体"/>
                <w:color w:val="auto"/>
                <w:szCs w:val="21"/>
                <w:lang w:val="en-US" w:eastAsia="zh-CN"/>
              </w:rPr>
              <w:t>（1）</w:t>
            </w:r>
            <w:r>
              <w:rPr>
                <w:rFonts w:hint="eastAsia" w:ascii="宋体" w:hAnsi="宋体" w:eastAsia="宋体" w:cs="宋体"/>
                <w:bCs w:val="0"/>
                <w:color w:val="auto"/>
                <w:sz w:val="21"/>
                <w:szCs w:val="21"/>
              </w:rPr>
              <w:t>投标人</w:t>
            </w:r>
            <w:r>
              <w:rPr>
                <w:rFonts w:hint="eastAsia" w:ascii="宋体" w:hAnsi="宋体" w:cs="宋体"/>
                <w:bCs w:val="0"/>
                <w:color w:val="auto"/>
                <w:sz w:val="21"/>
                <w:szCs w:val="21"/>
                <w:lang w:val="en-US" w:eastAsia="zh-CN"/>
              </w:rPr>
              <w:t>所投产品承载的云平台</w:t>
            </w:r>
            <w:r>
              <w:rPr>
                <w:rFonts w:hint="eastAsia" w:ascii="宋体" w:hAnsi="宋体" w:eastAsia="宋体" w:cs="宋体"/>
                <w:bCs w:val="0"/>
                <w:color w:val="auto"/>
                <w:sz w:val="21"/>
                <w:szCs w:val="21"/>
              </w:rPr>
              <w:t>具有信息系统安全等级保护证明（三级或以上）的得</w:t>
            </w:r>
            <w:r>
              <w:rPr>
                <w:rFonts w:hint="eastAsia" w:ascii="宋体" w:hAnsi="宋体" w:cs="宋体"/>
                <w:bCs w:val="0"/>
                <w:color w:val="auto"/>
                <w:sz w:val="21"/>
                <w:szCs w:val="21"/>
                <w:lang w:val="en-US" w:eastAsia="zh-CN"/>
              </w:rPr>
              <w:t>3</w:t>
            </w:r>
            <w:r>
              <w:rPr>
                <w:rFonts w:hint="eastAsia" w:ascii="宋体" w:hAnsi="宋体" w:eastAsia="宋体" w:cs="宋体"/>
                <w:bCs w:val="0"/>
                <w:color w:val="auto"/>
                <w:sz w:val="21"/>
                <w:szCs w:val="21"/>
              </w:rPr>
              <w:t>分，否则不得分。</w:t>
            </w:r>
          </w:p>
          <w:p>
            <w:pPr>
              <w:spacing w:line="300" w:lineRule="exact"/>
              <w:jc w:val="both"/>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r>
              <w:rPr>
                <w:rFonts w:hint="eastAsia" w:ascii="宋体" w:hAnsi="宋体" w:eastAsia="宋体" w:cs="宋体"/>
                <w:bCs w:val="0"/>
                <w:color w:val="auto"/>
                <w:sz w:val="21"/>
                <w:szCs w:val="21"/>
              </w:rPr>
              <w:t>投标人</w:t>
            </w:r>
            <w:r>
              <w:rPr>
                <w:rFonts w:hint="eastAsia" w:ascii="宋体" w:hAnsi="宋体" w:cs="宋体"/>
                <w:bCs w:val="0"/>
                <w:color w:val="auto"/>
                <w:sz w:val="21"/>
                <w:szCs w:val="21"/>
                <w:lang w:val="en-US" w:eastAsia="zh-CN"/>
              </w:rPr>
              <w:t>所投产品承载的云平台提供有效期内三级或以上等保测评合格报告，80分及以上计2分，70-79分计1分</w:t>
            </w:r>
            <w:r>
              <w:rPr>
                <w:rFonts w:hint="eastAsia" w:ascii="宋体" w:hAnsi="宋体" w:eastAsia="宋体" w:cs="宋体"/>
                <w:bCs w:val="0"/>
                <w:color w:val="auto"/>
                <w:sz w:val="21"/>
                <w:szCs w:val="21"/>
              </w:rPr>
              <w:t>，否则不得分。</w:t>
            </w:r>
            <w:r>
              <w:rPr>
                <w:rFonts w:hint="eastAsia" w:ascii="宋体" w:hAnsi="宋体" w:cs="宋体"/>
                <w:bCs w:val="0"/>
                <w:color w:val="auto"/>
                <w:sz w:val="21"/>
                <w:szCs w:val="21"/>
                <w:lang w:eastAsia="zh-CN"/>
              </w:rPr>
              <w:t>（</w:t>
            </w:r>
            <w:r>
              <w:rPr>
                <w:rFonts w:hint="eastAsia" w:ascii="宋体" w:hAnsi="宋体" w:cs="宋体"/>
                <w:bCs w:val="0"/>
                <w:color w:val="auto"/>
                <w:sz w:val="21"/>
                <w:szCs w:val="21"/>
                <w:lang w:val="en-US" w:eastAsia="zh-CN"/>
              </w:rPr>
              <w:t>需要提供测评报告基本信息表，测评结论表的扫描件并加盖公章，未提供的不得分</w:t>
            </w:r>
            <w:r>
              <w:rPr>
                <w:rFonts w:hint="eastAsia" w:ascii="宋体" w:hAnsi="宋体" w:cs="宋体"/>
                <w:bCs w:val="0"/>
                <w:color w:val="auto"/>
                <w:sz w:val="21"/>
                <w:szCs w:val="21"/>
                <w:lang w:eastAsia="zh-CN"/>
              </w:rPr>
              <w:t>）</w:t>
            </w:r>
          </w:p>
        </w:tc>
        <w:tc>
          <w:tcPr>
            <w:tcW w:w="38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项目团队</w:t>
            </w:r>
          </w:p>
        </w:tc>
        <w:tc>
          <w:tcPr>
            <w:tcW w:w="3042" w:type="pct"/>
            <w:vAlign w:val="center"/>
          </w:tcPr>
          <w:p>
            <w:pPr>
              <w:numPr>
                <w:ilvl w:val="-1"/>
                <w:numId w:val="0"/>
              </w:numPr>
              <w:spacing w:line="300" w:lineRule="exact"/>
              <w:jc w:val="both"/>
              <w:rPr>
                <w:rFonts w:hint="eastAsia" w:ascii="宋体" w:hAnsi="宋体" w:cs="宋体"/>
                <w:color w:val="auto"/>
                <w:szCs w:val="21"/>
                <w:lang w:val="en-US" w:eastAsia="zh-CN"/>
              </w:rPr>
            </w:pPr>
            <w:r>
              <w:rPr>
                <w:rFonts w:hint="eastAsia" w:ascii="宋体" w:hAnsi="宋体" w:cs="宋体"/>
                <w:color w:val="auto"/>
                <w:szCs w:val="21"/>
                <w:lang w:val="en-US" w:eastAsia="zh-CN"/>
              </w:rPr>
              <w:t>（1）项目经理从业五年以上并具有PMP或系统集成项目管理工程师或以上资质认证证书的，计2分。</w:t>
            </w:r>
          </w:p>
          <w:p>
            <w:pPr>
              <w:spacing w:line="300" w:lineRule="exact"/>
              <w:rPr>
                <w:rFonts w:hint="eastAsia" w:ascii="宋体" w:hAnsi="宋体" w:cs="宋体"/>
                <w:color w:val="auto"/>
                <w:szCs w:val="21"/>
                <w:lang w:val="en-US" w:eastAsia="zh-CN"/>
              </w:rPr>
            </w:pPr>
            <w:r>
              <w:rPr>
                <w:rFonts w:hint="eastAsia" w:ascii="宋体" w:hAnsi="宋体" w:cs="宋体"/>
                <w:color w:val="auto"/>
                <w:szCs w:val="21"/>
                <w:lang w:val="en-US" w:eastAsia="zh-CN"/>
              </w:rPr>
              <w:t>（2）主要技术负责人获得国家认证的对应技术资格的，计1分。</w:t>
            </w:r>
          </w:p>
          <w:p>
            <w:pPr>
              <w:spacing w:line="300" w:lineRule="exact"/>
              <w:rPr>
                <w:rFonts w:hint="eastAsia" w:ascii="宋体" w:hAnsi="宋体" w:cs="宋体"/>
                <w:color w:val="auto"/>
                <w:szCs w:val="21"/>
                <w:lang w:val="en-US" w:eastAsia="zh-CN"/>
              </w:rPr>
            </w:pPr>
            <w:r>
              <w:rPr>
                <w:rFonts w:hint="eastAsia" w:ascii="宋体" w:hAnsi="宋体" w:cs="宋体"/>
                <w:color w:val="auto"/>
                <w:szCs w:val="21"/>
                <w:lang w:val="en-US" w:eastAsia="zh-CN"/>
              </w:rPr>
              <w:t>（3）项目团队的组成结构合理，项目经理、技术总监、系统分析、设计、测试人员等配备齐全的，计2分。</w:t>
            </w:r>
          </w:p>
          <w:p>
            <w:pPr>
              <w:pStyle w:val="2"/>
              <w:rPr>
                <w:rFonts w:hint="default"/>
                <w:color w:val="auto"/>
                <w:lang w:val="en-US" w:eastAsia="zh-CN"/>
              </w:rPr>
            </w:pPr>
            <w:r>
              <w:rPr>
                <w:rFonts w:hint="eastAsia" w:ascii="宋体" w:hAnsi="宋体" w:cs="宋体"/>
                <w:color w:val="auto"/>
                <w:szCs w:val="21"/>
                <w:lang w:val="en-US" w:eastAsia="zh-CN"/>
              </w:rPr>
              <w:t>（须提供符合上述要求人员的相关资质证书的复印件及近半年在本单位参保的社保缴费证明复印件）</w:t>
            </w:r>
          </w:p>
        </w:tc>
        <w:tc>
          <w:tcPr>
            <w:tcW w:w="384" w:type="pct"/>
            <w:vAlign w:val="center"/>
          </w:tcPr>
          <w:p>
            <w:pPr>
              <w:spacing w:line="360" w:lineRule="auto"/>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60" w:lineRule="auto"/>
              <w:jc w:val="center"/>
              <w:rPr>
                <w:rFonts w:hint="default" w:ascii="宋体" w:hAnsi="宋体" w:eastAsia="宋体" w:cs="宋体"/>
                <w:color w:val="auto"/>
                <w:sz w:val="24"/>
                <w:szCs w:val="24"/>
                <w:lang w:val="en-US"/>
              </w:rPr>
            </w:pPr>
            <w:r>
              <w:rPr>
                <w:rFonts w:hint="eastAsia" w:ascii="宋体" w:hAnsi="宋体" w:cs="宋体"/>
                <w:color w:val="auto"/>
                <w:sz w:val="24"/>
                <w:szCs w:val="24"/>
                <w:highlight w:val="none"/>
                <w:lang w:val="en-US" w:eastAsia="zh-CN"/>
              </w:rPr>
              <w:t>同类业绩</w:t>
            </w:r>
          </w:p>
        </w:tc>
        <w:tc>
          <w:tcPr>
            <w:tcW w:w="3042" w:type="pct"/>
            <w:vAlign w:val="center"/>
          </w:tcPr>
          <w:p>
            <w:pPr>
              <w:spacing w:line="300" w:lineRule="exact"/>
              <w:jc w:val="both"/>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供应商在202</w:t>
            </w:r>
            <w:r>
              <w:rPr>
                <w:rFonts w:hint="eastAsia" w:ascii="宋体" w:hAnsi="宋体" w:cs="宋体"/>
                <w:color w:val="auto"/>
                <w:szCs w:val="21"/>
                <w:lang w:val="en-US" w:eastAsia="zh-CN"/>
              </w:rPr>
              <w:t>1</w:t>
            </w:r>
            <w:r>
              <w:rPr>
                <w:rFonts w:hint="eastAsia" w:ascii="宋体" w:hAnsi="宋体" w:eastAsia="宋体" w:cs="宋体"/>
                <w:color w:val="auto"/>
                <w:szCs w:val="21"/>
                <w:lang w:val="en-US" w:eastAsia="zh-CN"/>
              </w:rPr>
              <w:t>年1月1日以来（</w:t>
            </w:r>
            <w:r>
              <w:rPr>
                <w:rFonts w:hint="default" w:ascii="宋体" w:hAnsi="宋体" w:eastAsia="宋体" w:cs="宋体"/>
                <w:color w:val="auto"/>
                <w:szCs w:val="21"/>
                <w:lang w:val="en-US" w:eastAsia="zh-CN"/>
              </w:rPr>
              <w:t>以投标人提供的</w:t>
            </w:r>
            <w:r>
              <w:rPr>
                <w:rFonts w:hint="eastAsia" w:ascii="宋体" w:hAnsi="宋体" w:eastAsia="宋体" w:cs="宋体"/>
                <w:color w:val="auto"/>
                <w:szCs w:val="21"/>
                <w:lang w:val="en-US" w:eastAsia="zh-CN"/>
              </w:rPr>
              <w:t>中标</w:t>
            </w:r>
            <w:r>
              <w:rPr>
                <w:rFonts w:hint="default" w:ascii="宋体" w:hAnsi="宋体" w:eastAsia="宋体" w:cs="宋体"/>
                <w:color w:val="auto"/>
                <w:szCs w:val="21"/>
                <w:lang w:val="en-US" w:eastAsia="zh-CN"/>
              </w:rPr>
              <w:t>通知书</w:t>
            </w:r>
            <w:r>
              <w:rPr>
                <w:rFonts w:hint="eastAsia" w:ascii="宋体" w:hAnsi="宋体" w:eastAsia="宋体" w:cs="宋体"/>
                <w:color w:val="auto"/>
                <w:szCs w:val="21"/>
                <w:lang w:val="en-US" w:eastAsia="zh-CN"/>
              </w:rPr>
              <w:t>日期</w:t>
            </w:r>
            <w:r>
              <w:rPr>
                <w:rFonts w:hint="default" w:ascii="宋体" w:hAnsi="宋体" w:eastAsia="宋体" w:cs="宋体"/>
                <w:color w:val="auto"/>
                <w:szCs w:val="21"/>
                <w:lang w:val="en-US" w:eastAsia="zh-CN"/>
              </w:rPr>
              <w:t>或合同签订日期</w:t>
            </w:r>
            <w:r>
              <w:rPr>
                <w:rFonts w:hint="eastAsia" w:ascii="宋体" w:hAnsi="宋体" w:eastAsia="宋体" w:cs="宋体"/>
                <w:color w:val="auto"/>
                <w:szCs w:val="21"/>
                <w:lang w:val="en-US" w:eastAsia="zh-CN"/>
              </w:rPr>
              <w:t>为准）</w:t>
            </w:r>
            <w:r>
              <w:rPr>
                <w:rFonts w:hint="default" w:ascii="宋体" w:hAnsi="宋体" w:eastAsia="宋体" w:cs="宋体"/>
                <w:color w:val="auto"/>
                <w:szCs w:val="21"/>
                <w:lang w:val="en-US" w:eastAsia="zh-CN"/>
              </w:rPr>
              <w:t>同类租赁服务业绩</w:t>
            </w:r>
            <w:r>
              <w:rPr>
                <w:rFonts w:hint="eastAsia" w:ascii="宋体" w:hAnsi="宋体" w:eastAsia="宋体" w:cs="宋体"/>
                <w:color w:val="auto"/>
                <w:szCs w:val="21"/>
                <w:lang w:val="en-US" w:eastAsia="zh-CN"/>
              </w:rPr>
              <w:t>。</w:t>
            </w:r>
            <w:r>
              <w:rPr>
                <w:rFonts w:hint="eastAsia" w:ascii="宋体" w:hAnsi="宋体" w:cs="宋体"/>
                <w:color w:val="auto"/>
                <w:szCs w:val="21"/>
                <w:lang w:val="en-US" w:eastAsia="zh-CN"/>
              </w:rPr>
              <w:t>每个</w:t>
            </w:r>
            <w:r>
              <w:rPr>
                <w:rFonts w:hint="default" w:ascii="宋体" w:hAnsi="宋体" w:cs="宋体"/>
                <w:color w:val="auto"/>
                <w:szCs w:val="21"/>
                <w:lang w:val="en-US" w:eastAsia="zh-CN"/>
              </w:rPr>
              <w:t>项目</w:t>
            </w:r>
            <w:r>
              <w:rPr>
                <w:rFonts w:hint="eastAsia" w:ascii="宋体" w:hAnsi="宋体" w:eastAsia="宋体" w:cs="宋体"/>
                <w:color w:val="auto"/>
                <w:szCs w:val="21"/>
                <w:lang w:val="en-US" w:eastAsia="zh-CN"/>
              </w:rPr>
              <w:t>计</w:t>
            </w:r>
            <w:r>
              <w:rPr>
                <w:rFonts w:hint="eastAsia" w:ascii="宋体" w:hAnsi="宋体" w:cs="宋体"/>
                <w:color w:val="auto"/>
                <w:szCs w:val="21"/>
                <w:lang w:val="en-US" w:eastAsia="zh-CN"/>
              </w:rPr>
              <w:t>1</w:t>
            </w:r>
            <w:r>
              <w:rPr>
                <w:rFonts w:hint="eastAsia" w:ascii="宋体" w:hAnsi="宋体" w:eastAsia="宋体" w:cs="宋体"/>
                <w:color w:val="auto"/>
                <w:szCs w:val="21"/>
                <w:lang w:val="en-US" w:eastAsia="zh-CN"/>
              </w:rPr>
              <w:t>分，最高</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分。（须提供合同或中标通知书的扫描件并加盖公章，未提供的不得分）</w:t>
            </w:r>
          </w:p>
        </w:tc>
        <w:tc>
          <w:tcPr>
            <w:tcW w:w="38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296" w:type="pct"/>
            <w:vMerge w:val="restart"/>
            <w:vAlign w:val="center"/>
          </w:tcPr>
          <w:p>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02" w:type="pct"/>
            <w:vMerge w:val="restart"/>
            <w:vAlign w:val="center"/>
          </w:tcPr>
          <w:p>
            <w:pPr>
              <w:spacing w:line="360" w:lineRule="auto"/>
              <w:jc w:val="center"/>
              <w:rPr>
                <w:rFonts w:hint="eastAsia" w:ascii="宋体" w:hAnsi="宋体" w:eastAsia="宋体" w:cs="宋体"/>
                <w:color w:val="FF0000"/>
                <w:sz w:val="24"/>
                <w:szCs w:val="24"/>
              </w:rPr>
            </w:pPr>
            <w:r>
              <w:rPr>
                <w:rFonts w:hint="eastAsia" w:ascii="宋体" w:hAnsi="宋体" w:eastAsia="宋体" w:cs="宋体"/>
                <w:color w:val="FF0000"/>
                <w:sz w:val="24"/>
                <w:szCs w:val="24"/>
              </w:rPr>
              <w:t>技术</w:t>
            </w:r>
          </w:p>
          <w:p>
            <w:pPr>
              <w:spacing w:line="360" w:lineRule="auto"/>
              <w:jc w:val="center"/>
              <w:rPr>
                <w:rFonts w:hint="eastAsia" w:ascii="宋体" w:hAnsi="宋体" w:eastAsia="宋体" w:cs="宋体"/>
                <w:color w:val="auto"/>
                <w:sz w:val="24"/>
                <w:szCs w:val="24"/>
              </w:rPr>
            </w:pPr>
            <w:r>
              <w:rPr>
                <w:rFonts w:hint="eastAsia" w:ascii="宋体" w:hAnsi="宋体" w:eastAsia="宋体" w:cs="宋体"/>
                <w:color w:val="FF0000"/>
                <w:sz w:val="24"/>
                <w:szCs w:val="24"/>
              </w:rPr>
              <w:t>（</w:t>
            </w:r>
            <w:r>
              <w:rPr>
                <w:rFonts w:hint="eastAsia" w:ascii="宋体" w:hAnsi="宋体" w:cs="宋体"/>
                <w:color w:val="FF0000"/>
                <w:sz w:val="24"/>
                <w:szCs w:val="24"/>
                <w:lang w:val="en-US" w:eastAsia="zh-CN"/>
              </w:rPr>
              <w:t>60</w:t>
            </w:r>
            <w:r>
              <w:rPr>
                <w:rFonts w:hint="eastAsia" w:ascii="宋体" w:hAnsi="宋体" w:eastAsia="宋体" w:cs="宋体"/>
                <w:color w:val="FF0000"/>
                <w:sz w:val="24"/>
                <w:szCs w:val="24"/>
              </w:rPr>
              <w:t>分）</w:t>
            </w:r>
          </w:p>
        </w:tc>
        <w:tc>
          <w:tcPr>
            <w:tcW w:w="77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建设方案</w:t>
            </w:r>
          </w:p>
        </w:tc>
        <w:tc>
          <w:tcPr>
            <w:tcW w:w="3042" w:type="pct"/>
            <w:vAlign w:val="center"/>
          </w:tcPr>
          <w:p>
            <w:pPr>
              <w:spacing w:line="300" w:lineRule="exact"/>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建设方案包含招标文件中要求的全部内容且方案完整，计10分；</w:t>
            </w:r>
          </w:p>
          <w:p>
            <w:pPr>
              <w:spacing w:line="300" w:lineRule="exact"/>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建设方案包含招标文件中要求的全部内容且方案</w:t>
            </w:r>
            <w:r>
              <w:rPr>
                <w:rFonts w:hint="eastAsia" w:ascii="宋体" w:hAnsi="宋体" w:cs="宋体"/>
                <w:color w:val="auto"/>
                <w:szCs w:val="21"/>
                <w:lang w:val="en-US" w:eastAsia="zh-CN"/>
              </w:rPr>
              <w:t>较</w:t>
            </w:r>
            <w:r>
              <w:rPr>
                <w:rFonts w:hint="eastAsia" w:ascii="宋体" w:hAnsi="宋体" w:eastAsia="宋体" w:cs="宋体"/>
                <w:color w:val="auto"/>
                <w:szCs w:val="21"/>
                <w:lang w:val="en-US" w:eastAsia="zh-CN"/>
              </w:rPr>
              <w:t>完整，计</w:t>
            </w:r>
            <w:r>
              <w:rPr>
                <w:rFonts w:hint="eastAsia" w:ascii="宋体" w:hAnsi="宋体" w:cs="宋体"/>
                <w:color w:val="auto"/>
                <w:szCs w:val="21"/>
                <w:lang w:val="en-US" w:eastAsia="zh-CN"/>
              </w:rPr>
              <w:t>7</w:t>
            </w:r>
            <w:r>
              <w:rPr>
                <w:rFonts w:hint="eastAsia" w:ascii="宋体" w:hAnsi="宋体" w:eastAsia="宋体" w:cs="宋体"/>
                <w:color w:val="auto"/>
                <w:szCs w:val="21"/>
                <w:lang w:val="en-US" w:eastAsia="zh-CN"/>
              </w:rPr>
              <w:t>分；</w:t>
            </w:r>
          </w:p>
          <w:p>
            <w:pPr>
              <w:spacing w:line="300" w:lineRule="exact"/>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建设方案包含招标文件中要求的全部内容且方案</w:t>
            </w:r>
            <w:r>
              <w:rPr>
                <w:rFonts w:hint="eastAsia" w:ascii="宋体" w:hAnsi="宋体" w:cs="宋体"/>
                <w:color w:val="auto"/>
                <w:szCs w:val="21"/>
                <w:lang w:val="en-US" w:eastAsia="zh-CN"/>
              </w:rPr>
              <w:t>基本</w:t>
            </w:r>
            <w:r>
              <w:rPr>
                <w:rFonts w:hint="eastAsia" w:ascii="宋体" w:hAnsi="宋体" w:eastAsia="宋体" w:cs="宋体"/>
                <w:color w:val="auto"/>
                <w:szCs w:val="21"/>
                <w:lang w:val="en-US" w:eastAsia="zh-CN"/>
              </w:rPr>
              <w:t>完整，计</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分；</w:t>
            </w:r>
          </w:p>
          <w:p>
            <w:pPr>
              <w:spacing w:line="300" w:lineRule="exact"/>
              <w:jc w:val="both"/>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未满足全部要求的计0分；</w:t>
            </w:r>
          </w:p>
        </w:tc>
        <w:tc>
          <w:tcPr>
            <w:tcW w:w="38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60" w:lineRule="auto"/>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接口对接</w:t>
            </w:r>
          </w:p>
        </w:tc>
        <w:tc>
          <w:tcPr>
            <w:tcW w:w="3042" w:type="pct"/>
            <w:vAlign w:val="center"/>
          </w:tcPr>
          <w:p>
            <w:pPr>
              <w:numPr>
                <w:ilvl w:val="-1"/>
                <w:numId w:val="0"/>
              </w:numPr>
              <w:spacing w:line="300" w:lineRule="exact"/>
              <w:jc w:val="both"/>
              <w:rPr>
                <w:rFonts w:hint="eastAsia" w:ascii="宋体" w:hAnsi="宋体" w:cs="宋体"/>
                <w:color w:val="FF0000"/>
                <w:szCs w:val="21"/>
                <w:lang w:val="en-US" w:eastAsia="zh-CN"/>
              </w:rPr>
            </w:pPr>
            <w:r>
              <w:rPr>
                <w:rFonts w:hint="eastAsia" w:ascii="宋体" w:hAnsi="宋体" w:cs="宋体"/>
                <w:color w:val="FF0000"/>
                <w:szCs w:val="21"/>
                <w:lang w:val="en-US" w:eastAsia="zh-CN"/>
              </w:rPr>
              <w:t>（1）实现省市县各级平台对接，并提供各级平台、急救分站和救护车接入接口，计4分。</w:t>
            </w:r>
          </w:p>
          <w:p>
            <w:pPr>
              <w:numPr>
                <w:ilvl w:val="-1"/>
                <w:numId w:val="0"/>
              </w:numPr>
              <w:spacing w:line="300" w:lineRule="exact"/>
              <w:jc w:val="both"/>
              <w:rPr>
                <w:rFonts w:hint="eastAsia" w:ascii="宋体" w:hAnsi="宋体" w:cs="宋体"/>
                <w:color w:val="FF0000"/>
                <w:szCs w:val="21"/>
                <w:lang w:val="en-US" w:eastAsia="zh-CN"/>
              </w:rPr>
            </w:pPr>
            <w:r>
              <w:rPr>
                <w:rFonts w:hint="eastAsia" w:ascii="宋体" w:hAnsi="宋体" w:cs="宋体"/>
                <w:color w:val="FF0000"/>
                <w:szCs w:val="21"/>
                <w:lang w:val="en-US" w:eastAsia="zh-CN"/>
              </w:rPr>
              <w:t>（2）提供标准化接口，并实现与院内HIS或集成平台对接，计4分。</w:t>
            </w:r>
          </w:p>
          <w:p>
            <w:pPr>
              <w:numPr>
                <w:ilvl w:val="-1"/>
                <w:numId w:val="0"/>
              </w:numPr>
              <w:spacing w:line="300" w:lineRule="exact"/>
              <w:jc w:val="both"/>
              <w:rPr>
                <w:rFonts w:hint="eastAsia" w:ascii="宋体" w:hAnsi="宋体" w:cs="宋体"/>
                <w:color w:val="FF0000"/>
                <w:szCs w:val="21"/>
                <w:lang w:val="en-US" w:eastAsia="zh-CN"/>
              </w:rPr>
            </w:pPr>
            <w:r>
              <w:rPr>
                <w:rFonts w:hint="eastAsia" w:ascii="宋体" w:hAnsi="宋体" w:cs="宋体"/>
                <w:color w:val="FF0000"/>
                <w:szCs w:val="21"/>
                <w:lang w:val="en-US" w:eastAsia="zh-CN"/>
              </w:rPr>
              <w:t>（3）提供标准化接口，并实现与院内LIS、PACS对接，计4分。</w:t>
            </w:r>
          </w:p>
          <w:p>
            <w:pPr>
              <w:numPr>
                <w:ilvl w:val="-1"/>
                <w:numId w:val="0"/>
              </w:numPr>
              <w:spacing w:line="300" w:lineRule="exact"/>
              <w:jc w:val="both"/>
              <w:rPr>
                <w:rFonts w:hint="eastAsia" w:ascii="宋体" w:hAnsi="宋体" w:cs="宋体"/>
                <w:color w:val="FF0000"/>
                <w:szCs w:val="21"/>
                <w:lang w:val="en-US" w:eastAsia="zh-CN"/>
              </w:rPr>
            </w:pPr>
            <w:r>
              <w:rPr>
                <w:rFonts w:hint="eastAsia" w:ascii="宋体" w:hAnsi="宋体" w:cs="宋体"/>
                <w:color w:val="FF0000"/>
                <w:szCs w:val="21"/>
                <w:lang w:val="en-US" w:eastAsia="zh-CN"/>
              </w:rPr>
              <w:t>（4）提供标准化接口，并实现与院内电子病历系统对接，计4分。</w:t>
            </w:r>
          </w:p>
          <w:p>
            <w:pPr>
              <w:numPr>
                <w:ilvl w:val="-1"/>
                <w:numId w:val="0"/>
              </w:numPr>
              <w:spacing w:line="300" w:lineRule="exact"/>
              <w:jc w:val="both"/>
              <w:rPr>
                <w:rFonts w:hint="eastAsia" w:ascii="宋体" w:hAnsi="宋体" w:cs="宋体"/>
                <w:color w:val="FF0000"/>
                <w:szCs w:val="21"/>
                <w:lang w:val="en-US" w:eastAsia="zh-CN"/>
              </w:rPr>
            </w:pPr>
            <w:r>
              <w:rPr>
                <w:rFonts w:hint="eastAsia" w:ascii="宋体" w:hAnsi="宋体" w:cs="宋体"/>
                <w:color w:val="FF0000"/>
                <w:szCs w:val="21"/>
                <w:lang w:val="en-US" w:eastAsia="zh-CN"/>
              </w:rPr>
              <w:t>（5）提供标准化接口，并实现与院内门急诊医生站对接，计4分。</w:t>
            </w:r>
          </w:p>
          <w:p>
            <w:pPr>
              <w:pStyle w:val="2"/>
              <w:rPr>
                <w:rFonts w:hint="default"/>
                <w:color w:val="FF0000"/>
                <w:lang w:val="en-US" w:eastAsia="zh-CN"/>
              </w:rPr>
            </w:pPr>
            <w:r>
              <w:rPr>
                <w:rFonts w:hint="eastAsia" w:ascii="宋体" w:hAnsi="宋体" w:cs="宋体"/>
                <w:color w:val="FF0000"/>
                <w:szCs w:val="21"/>
                <w:lang w:val="en-US" w:eastAsia="zh-CN"/>
              </w:rPr>
              <w:t>（上述接口对接产生的费用由投标人负责。）</w:t>
            </w:r>
          </w:p>
        </w:tc>
        <w:tc>
          <w:tcPr>
            <w:tcW w:w="384" w:type="pct"/>
            <w:vAlign w:val="center"/>
          </w:tcPr>
          <w:p>
            <w:pPr>
              <w:spacing w:line="360" w:lineRule="auto"/>
              <w:jc w:val="center"/>
              <w:rPr>
                <w:rFonts w:hint="default" w:ascii="宋体" w:hAnsi="宋体" w:cs="宋体"/>
                <w:color w:val="FF0000"/>
                <w:sz w:val="24"/>
                <w:szCs w:val="24"/>
                <w:lang w:val="en-US" w:eastAsia="zh-CN"/>
              </w:rPr>
            </w:pPr>
            <w:r>
              <w:rPr>
                <w:rFonts w:hint="eastAsia" w:ascii="宋体" w:hAnsi="宋体" w:cs="宋体"/>
                <w:color w:val="FF0000"/>
                <w:sz w:val="24"/>
                <w:szCs w:val="24"/>
                <w:lang w:val="en-US" w:eastAsia="zh-CN"/>
              </w:rPr>
              <w:t>20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实施方案</w:t>
            </w:r>
          </w:p>
        </w:tc>
        <w:tc>
          <w:tcPr>
            <w:tcW w:w="3042" w:type="pct"/>
            <w:vAlign w:val="center"/>
          </w:tcPr>
          <w:p>
            <w:pPr>
              <w:spacing w:line="300" w:lineRule="exact"/>
              <w:jc w:val="both"/>
              <w:rPr>
                <w:rFonts w:hint="eastAsia" w:ascii="宋体" w:hAnsi="宋体" w:cs="宋体"/>
                <w:color w:val="auto"/>
                <w:szCs w:val="21"/>
              </w:rPr>
            </w:pPr>
            <w:r>
              <w:rPr>
                <w:rFonts w:hint="eastAsia" w:ascii="宋体" w:hAnsi="宋体" w:cs="宋体"/>
                <w:color w:val="auto"/>
                <w:szCs w:val="21"/>
              </w:rPr>
              <w:t>根据招标文件中的功能需求，是否有提供完整的实施方案，涵盖系统需求分析、测试、试运行、验收、进度安排等，其项目管理制度及管理方案是否具有科学性、合理性和可执行性。</w:t>
            </w:r>
          </w:p>
          <w:p>
            <w:pPr>
              <w:spacing w:line="300" w:lineRule="exact"/>
              <w:jc w:val="both"/>
              <w:rPr>
                <w:rFonts w:hint="eastAsia" w:ascii="宋体" w:hAnsi="宋体" w:cs="宋体"/>
                <w:color w:val="auto"/>
                <w:szCs w:val="21"/>
              </w:rPr>
            </w:pPr>
            <w:r>
              <w:rPr>
                <w:rFonts w:hint="eastAsia" w:ascii="宋体" w:hAnsi="宋体" w:cs="宋体"/>
                <w:color w:val="auto"/>
                <w:szCs w:val="21"/>
              </w:rPr>
              <w:t>（1）实施方案需求分析步骤清晰，测试、试运行、验收、进度安排科学、合理，得</w:t>
            </w:r>
            <w:r>
              <w:rPr>
                <w:rFonts w:hint="eastAsia" w:ascii="宋体" w:hAnsi="宋体" w:cs="宋体"/>
                <w:color w:val="auto"/>
                <w:szCs w:val="21"/>
                <w:lang w:val="en-US" w:eastAsia="zh-CN"/>
              </w:rPr>
              <w:t>10</w:t>
            </w:r>
            <w:r>
              <w:rPr>
                <w:rFonts w:hint="eastAsia" w:ascii="宋体" w:hAnsi="宋体" w:cs="宋体"/>
                <w:color w:val="auto"/>
                <w:szCs w:val="21"/>
              </w:rPr>
              <w:t>分；</w:t>
            </w:r>
          </w:p>
          <w:p>
            <w:pPr>
              <w:spacing w:line="300" w:lineRule="exact"/>
              <w:jc w:val="both"/>
              <w:rPr>
                <w:rFonts w:hint="eastAsia" w:ascii="宋体" w:hAnsi="宋体" w:cs="宋体"/>
                <w:color w:val="auto"/>
                <w:szCs w:val="21"/>
              </w:rPr>
            </w:pPr>
            <w:r>
              <w:rPr>
                <w:rFonts w:hint="eastAsia" w:ascii="宋体" w:hAnsi="宋体" w:cs="宋体"/>
                <w:color w:val="auto"/>
                <w:szCs w:val="21"/>
              </w:rPr>
              <w:t>（2）实施方案需求分析步骤较清晰，测试、试运行、验收、进度安排较科学、合理，得</w:t>
            </w:r>
            <w:r>
              <w:rPr>
                <w:rFonts w:hint="eastAsia" w:ascii="宋体" w:hAnsi="宋体" w:cs="宋体"/>
                <w:color w:val="auto"/>
                <w:szCs w:val="21"/>
                <w:lang w:val="en-US" w:eastAsia="zh-CN"/>
              </w:rPr>
              <w:t>7</w:t>
            </w:r>
            <w:r>
              <w:rPr>
                <w:rFonts w:hint="eastAsia" w:ascii="宋体" w:hAnsi="宋体" w:cs="宋体"/>
                <w:color w:val="auto"/>
                <w:szCs w:val="21"/>
              </w:rPr>
              <w:t>分；</w:t>
            </w:r>
          </w:p>
          <w:p>
            <w:pPr>
              <w:spacing w:line="300" w:lineRule="exact"/>
              <w:jc w:val="both"/>
              <w:rPr>
                <w:rFonts w:hint="eastAsia" w:ascii="宋体" w:hAnsi="宋体" w:cs="宋体"/>
                <w:color w:val="auto"/>
                <w:szCs w:val="21"/>
              </w:rPr>
            </w:pPr>
            <w:r>
              <w:rPr>
                <w:rFonts w:hint="eastAsia" w:ascii="宋体" w:hAnsi="宋体" w:cs="宋体"/>
                <w:color w:val="auto"/>
                <w:szCs w:val="21"/>
              </w:rPr>
              <w:t>（3）实施方案需求分析步骤一般，测试、试运行、验收、进度安排一般，得</w:t>
            </w:r>
            <w:r>
              <w:rPr>
                <w:rFonts w:hint="eastAsia" w:ascii="宋体" w:hAnsi="宋体" w:cs="宋体"/>
                <w:color w:val="auto"/>
                <w:szCs w:val="21"/>
                <w:lang w:val="en-US" w:eastAsia="zh-CN"/>
              </w:rPr>
              <w:t>4</w:t>
            </w:r>
            <w:r>
              <w:rPr>
                <w:rFonts w:hint="eastAsia" w:ascii="宋体" w:hAnsi="宋体" w:cs="宋体"/>
                <w:color w:val="auto"/>
                <w:szCs w:val="21"/>
              </w:rPr>
              <w:t>分。；</w:t>
            </w:r>
          </w:p>
          <w:p>
            <w:pPr>
              <w:spacing w:line="300" w:lineRule="exact"/>
              <w:jc w:val="both"/>
              <w:rPr>
                <w:rFonts w:hint="eastAsia" w:ascii="宋体" w:hAnsi="宋体" w:eastAsia="宋体" w:cs="宋体"/>
                <w:color w:val="auto"/>
                <w:szCs w:val="21"/>
                <w:lang w:val="en-US" w:eastAsia="zh-CN"/>
              </w:rPr>
            </w:pPr>
            <w:r>
              <w:rPr>
                <w:rFonts w:hint="eastAsia" w:ascii="宋体" w:hAnsi="宋体" w:cs="宋体"/>
                <w:color w:val="auto"/>
                <w:szCs w:val="21"/>
              </w:rPr>
              <w:t>（4）不提供或提供的实施方案不清晰的，不得分。</w:t>
            </w:r>
          </w:p>
        </w:tc>
        <w:tc>
          <w:tcPr>
            <w:tcW w:w="38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FF0000"/>
                <w:sz w:val="24"/>
                <w:szCs w:val="24"/>
                <w:lang w:val="en-US" w:eastAsia="zh-CN"/>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售后服务</w:t>
            </w:r>
          </w:p>
        </w:tc>
        <w:tc>
          <w:tcPr>
            <w:tcW w:w="3042" w:type="pct"/>
            <w:vAlign w:val="center"/>
          </w:tcPr>
          <w:p>
            <w:pPr>
              <w:jc w:val="left"/>
              <w:rPr>
                <w:rFonts w:hint="eastAsia" w:ascii="宋体" w:hAnsi="宋体" w:eastAsia="宋体" w:cs="宋体"/>
                <w:color w:val="auto"/>
                <w:szCs w:val="21"/>
              </w:rPr>
            </w:pPr>
            <w:r>
              <w:rPr>
                <w:rFonts w:hint="eastAsia"/>
                <w:color w:val="auto"/>
                <w:szCs w:val="21"/>
              </w:rPr>
              <w:t>投标人应详尽阐述所提供项目的售后服务方案、售后服务承</w:t>
            </w:r>
            <w:r>
              <w:rPr>
                <w:rFonts w:hint="eastAsia" w:ascii="宋体" w:hAnsi="宋体" w:eastAsia="宋体" w:cs="宋体"/>
                <w:color w:val="auto"/>
                <w:szCs w:val="21"/>
              </w:rPr>
              <w:t>诺、保障措施、故障排除速度及维护期内外的后续技术支持和维护能力。</w:t>
            </w:r>
          </w:p>
          <w:p>
            <w:pPr>
              <w:jc w:val="left"/>
              <w:rPr>
                <w:rFonts w:hint="eastAsia" w:ascii="宋体" w:hAnsi="宋体" w:eastAsia="宋体" w:cs="宋体"/>
                <w:color w:val="auto"/>
                <w:szCs w:val="21"/>
              </w:rPr>
            </w:pPr>
            <w:r>
              <w:rPr>
                <w:rFonts w:hint="eastAsia" w:ascii="宋体" w:hAnsi="宋体" w:eastAsia="宋体" w:cs="宋体"/>
                <w:color w:val="auto"/>
                <w:szCs w:val="21"/>
              </w:rPr>
              <w:t>（1）售后服务方案、售后服务承诺、保障措施完善，故障排除速度快及维护期内外的后续技术支持和维护能力强,得</w:t>
            </w:r>
            <w:r>
              <w:rPr>
                <w:rFonts w:hint="eastAsia" w:ascii="宋体" w:hAnsi="宋体" w:cs="宋体"/>
                <w:color w:val="auto"/>
                <w:szCs w:val="21"/>
                <w:lang w:val="en-US" w:eastAsia="zh-CN"/>
              </w:rPr>
              <w:t>10</w:t>
            </w:r>
            <w:r>
              <w:rPr>
                <w:rFonts w:hint="eastAsia" w:ascii="宋体" w:hAnsi="宋体" w:eastAsia="宋体" w:cs="宋体"/>
                <w:color w:val="auto"/>
                <w:szCs w:val="21"/>
              </w:rPr>
              <w:t xml:space="preserve">分； </w:t>
            </w:r>
          </w:p>
          <w:p>
            <w:pPr>
              <w:jc w:val="left"/>
              <w:rPr>
                <w:rFonts w:hint="eastAsia" w:ascii="宋体" w:hAnsi="宋体" w:eastAsia="宋体" w:cs="宋体"/>
                <w:color w:val="auto"/>
                <w:szCs w:val="21"/>
              </w:rPr>
            </w:pPr>
            <w:r>
              <w:rPr>
                <w:rFonts w:hint="eastAsia" w:ascii="宋体" w:hAnsi="宋体" w:eastAsia="宋体" w:cs="宋体"/>
                <w:color w:val="auto"/>
                <w:szCs w:val="21"/>
              </w:rPr>
              <w:t>（2）售后服务承诺、保障措施完较善，故障排除速度较快及维护期内外的后续技术支持和维护能力较强，得</w:t>
            </w:r>
            <w:r>
              <w:rPr>
                <w:rFonts w:hint="eastAsia" w:ascii="宋体" w:hAnsi="宋体" w:cs="宋体"/>
                <w:color w:val="auto"/>
                <w:szCs w:val="21"/>
                <w:lang w:val="en-US" w:eastAsia="zh-CN"/>
              </w:rPr>
              <w:t>7</w:t>
            </w:r>
            <w:r>
              <w:rPr>
                <w:rFonts w:hint="eastAsia" w:ascii="宋体" w:hAnsi="宋体" w:eastAsia="宋体" w:cs="宋体"/>
                <w:color w:val="auto"/>
                <w:szCs w:val="21"/>
              </w:rPr>
              <w:t>分；</w:t>
            </w:r>
          </w:p>
          <w:p>
            <w:pPr>
              <w:jc w:val="left"/>
              <w:rPr>
                <w:rFonts w:hint="eastAsia" w:ascii="宋体" w:hAnsi="宋体" w:eastAsia="宋体" w:cs="宋体"/>
                <w:color w:val="auto"/>
                <w:szCs w:val="21"/>
              </w:rPr>
            </w:pPr>
            <w:r>
              <w:rPr>
                <w:rFonts w:hint="eastAsia" w:ascii="宋体" w:hAnsi="宋体" w:eastAsia="宋体" w:cs="宋体"/>
                <w:color w:val="auto"/>
                <w:szCs w:val="21"/>
              </w:rPr>
              <w:t>（3）售后服务保障体系及措施基本符合招标要求，服务响应一般，得</w:t>
            </w:r>
            <w:r>
              <w:rPr>
                <w:rFonts w:hint="eastAsia" w:ascii="宋体" w:hAnsi="宋体" w:cs="宋体"/>
                <w:color w:val="auto"/>
                <w:szCs w:val="21"/>
                <w:lang w:val="en-US" w:eastAsia="zh-CN"/>
              </w:rPr>
              <w:t>4</w:t>
            </w:r>
            <w:r>
              <w:rPr>
                <w:rFonts w:hint="eastAsia" w:ascii="宋体" w:hAnsi="宋体" w:eastAsia="宋体" w:cs="宋体"/>
                <w:color w:val="auto"/>
                <w:szCs w:val="21"/>
              </w:rPr>
              <w:t>分；</w:t>
            </w:r>
          </w:p>
          <w:p>
            <w:pPr>
              <w:spacing w:line="300" w:lineRule="exact"/>
              <w:jc w:val="both"/>
              <w:rPr>
                <w:rFonts w:hint="eastAsia" w:ascii="宋体" w:hAnsi="宋体" w:eastAsia="宋体" w:cs="宋体"/>
                <w:color w:val="auto"/>
                <w:szCs w:val="21"/>
                <w:lang w:val="en-US" w:eastAsia="zh-CN"/>
              </w:rPr>
            </w:pPr>
            <w:r>
              <w:rPr>
                <w:rFonts w:hint="eastAsia" w:ascii="宋体" w:hAnsi="宋体" w:eastAsia="宋体" w:cs="宋体"/>
                <w:color w:val="auto"/>
                <w:szCs w:val="21"/>
              </w:rPr>
              <w:t>（4）不提供或提供的售后服务方案不合理的，不得分。</w:t>
            </w:r>
          </w:p>
        </w:tc>
        <w:tc>
          <w:tcPr>
            <w:tcW w:w="384" w:type="pct"/>
            <w:vAlign w:val="center"/>
          </w:tcPr>
          <w:p>
            <w:pPr>
              <w:spacing w:line="360" w:lineRule="auto"/>
              <w:jc w:val="center"/>
              <w:rPr>
                <w:rFonts w:hint="default" w:ascii="宋体" w:hAnsi="宋体" w:cs="宋体"/>
                <w:color w:val="auto"/>
                <w:sz w:val="24"/>
                <w:szCs w:val="24"/>
                <w:lang w:val="en-US" w:eastAsia="zh-CN"/>
              </w:rPr>
            </w:pPr>
            <w:r>
              <w:rPr>
                <w:rFonts w:hint="eastAsia" w:ascii="宋体" w:hAnsi="宋体" w:cs="宋体"/>
                <w:color w:val="FF0000"/>
                <w:sz w:val="24"/>
                <w:szCs w:val="24"/>
                <w:lang w:val="en-US" w:eastAsia="zh-CN"/>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4" w:hRule="atLeast"/>
          <w:jc w:val="center"/>
        </w:trPr>
        <w:tc>
          <w:tcPr>
            <w:tcW w:w="296" w:type="pct"/>
            <w:vMerge w:val="continue"/>
            <w:vAlign w:val="center"/>
          </w:tcPr>
          <w:p>
            <w:pPr>
              <w:spacing w:line="360" w:lineRule="auto"/>
              <w:jc w:val="center"/>
              <w:rPr>
                <w:rFonts w:hint="eastAsia" w:ascii="宋体" w:hAnsi="宋体" w:eastAsia="宋体" w:cs="宋体"/>
                <w:color w:val="auto"/>
                <w:sz w:val="24"/>
                <w:szCs w:val="24"/>
              </w:rPr>
            </w:pPr>
          </w:p>
        </w:tc>
        <w:tc>
          <w:tcPr>
            <w:tcW w:w="502" w:type="pct"/>
            <w:vMerge w:val="continue"/>
            <w:vAlign w:val="center"/>
          </w:tcPr>
          <w:p>
            <w:pPr>
              <w:spacing w:line="360" w:lineRule="auto"/>
              <w:jc w:val="center"/>
              <w:rPr>
                <w:rFonts w:hint="eastAsia" w:ascii="宋体" w:hAnsi="宋体" w:eastAsia="宋体" w:cs="宋体"/>
                <w:color w:val="auto"/>
                <w:sz w:val="24"/>
                <w:szCs w:val="24"/>
              </w:rPr>
            </w:pPr>
          </w:p>
        </w:tc>
        <w:tc>
          <w:tcPr>
            <w:tcW w:w="77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培训方案</w:t>
            </w:r>
          </w:p>
        </w:tc>
        <w:tc>
          <w:tcPr>
            <w:tcW w:w="3042" w:type="pct"/>
            <w:vAlign w:val="center"/>
          </w:tcPr>
          <w:p>
            <w:pPr>
              <w:jc w:val="left"/>
              <w:rPr>
                <w:rFonts w:hint="eastAsia" w:ascii="宋体" w:hAnsi="宋体" w:eastAsia="宋体" w:cs="宋体"/>
                <w:color w:val="auto"/>
                <w:szCs w:val="21"/>
              </w:rPr>
            </w:pPr>
            <w:r>
              <w:rPr>
                <w:rFonts w:hint="eastAsia" w:ascii="宋体" w:hAnsi="宋体" w:eastAsia="宋体" w:cs="宋体"/>
                <w:color w:val="auto"/>
                <w:szCs w:val="21"/>
              </w:rPr>
              <w:t>培训方案应包括培训内容、培训计划等内容，方案应尽可能全面、详尽、合理、科学，并有相应的考核办法。</w:t>
            </w:r>
          </w:p>
          <w:p>
            <w:pPr>
              <w:jc w:val="left"/>
              <w:rPr>
                <w:rFonts w:hint="eastAsia" w:ascii="宋体" w:hAnsi="宋体" w:eastAsia="宋体" w:cs="宋体"/>
                <w:color w:val="auto"/>
                <w:szCs w:val="21"/>
              </w:rPr>
            </w:pPr>
            <w:r>
              <w:rPr>
                <w:rFonts w:hint="eastAsia" w:ascii="宋体" w:hAnsi="宋体" w:eastAsia="宋体" w:cs="宋体"/>
                <w:color w:val="auto"/>
                <w:szCs w:val="21"/>
              </w:rPr>
              <w:t>（1）培训计划科学合理，培训内容全面，培训时间可行，培训重点突出，得</w:t>
            </w:r>
            <w:r>
              <w:rPr>
                <w:rFonts w:hint="eastAsia" w:ascii="宋体" w:hAnsi="宋体" w:cs="宋体"/>
                <w:color w:val="auto"/>
                <w:szCs w:val="21"/>
                <w:lang w:val="en-US" w:eastAsia="zh-CN"/>
              </w:rPr>
              <w:t>10</w:t>
            </w:r>
            <w:r>
              <w:rPr>
                <w:rFonts w:hint="eastAsia" w:ascii="宋体" w:hAnsi="宋体" w:eastAsia="宋体" w:cs="宋体"/>
                <w:color w:val="auto"/>
                <w:szCs w:val="21"/>
              </w:rPr>
              <w:t xml:space="preserve">分； </w:t>
            </w:r>
          </w:p>
          <w:p>
            <w:pPr>
              <w:jc w:val="left"/>
              <w:rPr>
                <w:rFonts w:hint="eastAsia" w:ascii="宋体" w:hAnsi="宋体" w:eastAsia="宋体" w:cs="宋体"/>
                <w:color w:val="auto"/>
                <w:szCs w:val="21"/>
              </w:rPr>
            </w:pPr>
            <w:r>
              <w:rPr>
                <w:rFonts w:hint="eastAsia" w:ascii="宋体" w:hAnsi="宋体" w:eastAsia="宋体" w:cs="宋体"/>
                <w:color w:val="auto"/>
                <w:szCs w:val="21"/>
              </w:rPr>
              <w:t>（2）培训计划较科学合理，培训内容较全面，培训时间可行，培训重点较突出，得</w:t>
            </w:r>
            <w:r>
              <w:rPr>
                <w:rFonts w:hint="eastAsia" w:ascii="宋体" w:hAnsi="宋体" w:cs="宋体"/>
                <w:color w:val="auto"/>
                <w:szCs w:val="21"/>
                <w:lang w:val="en-US" w:eastAsia="zh-CN"/>
              </w:rPr>
              <w:t>7</w:t>
            </w:r>
            <w:r>
              <w:rPr>
                <w:rFonts w:hint="eastAsia" w:ascii="宋体" w:hAnsi="宋体" w:eastAsia="宋体" w:cs="宋体"/>
                <w:color w:val="auto"/>
                <w:szCs w:val="21"/>
              </w:rPr>
              <w:t xml:space="preserve">分； </w:t>
            </w:r>
          </w:p>
          <w:p>
            <w:pPr>
              <w:jc w:val="left"/>
              <w:rPr>
                <w:rFonts w:hint="eastAsia" w:ascii="宋体" w:hAnsi="宋体" w:eastAsia="宋体" w:cs="宋体"/>
                <w:color w:val="auto"/>
                <w:szCs w:val="21"/>
              </w:rPr>
            </w:pPr>
            <w:r>
              <w:rPr>
                <w:rFonts w:hint="eastAsia" w:ascii="宋体" w:hAnsi="宋体" w:eastAsia="宋体" w:cs="宋体"/>
                <w:color w:val="auto"/>
                <w:szCs w:val="21"/>
              </w:rPr>
              <w:t>（3）培训计划及培训内容一般，有不足之处，得</w:t>
            </w:r>
            <w:r>
              <w:rPr>
                <w:rFonts w:hint="eastAsia" w:ascii="宋体" w:hAnsi="宋体" w:cs="宋体"/>
                <w:color w:val="auto"/>
                <w:szCs w:val="21"/>
                <w:lang w:val="en-US" w:eastAsia="zh-CN"/>
              </w:rPr>
              <w:t>4</w:t>
            </w:r>
            <w:r>
              <w:rPr>
                <w:rFonts w:hint="eastAsia" w:ascii="宋体" w:hAnsi="宋体" w:eastAsia="宋体" w:cs="宋体"/>
                <w:color w:val="auto"/>
                <w:szCs w:val="21"/>
              </w:rPr>
              <w:t>分；</w:t>
            </w:r>
          </w:p>
          <w:p>
            <w:pPr>
              <w:spacing w:line="300" w:lineRule="exact"/>
              <w:jc w:val="both"/>
              <w:rPr>
                <w:rFonts w:hint="default" w:ascii="宋体" w:hAnsi="宋体" w:eastAsia="宋体" w:cs="宋体"/>
                <w:color w:val="auto"/>
                <w:szCs w:val="21"/>
                <w:lang w:val="en-US" w:eastAsia="zh-CN"/>
              </w:rPr>
            </w:pPr>
            <w:r>
              <w:rPr>
                <w:rFonts w:hint="eastAsia" w:ascii="宋体" w:hAnsi="宋体" w:eastAsia="宋体" w:cs="宋体"/>
                <w:color w:val="auto"/>
                <w:szCs w:val="21"/>
              </w:rPr>
              <w:t>（4）不提供或提供的培训方案不合理的，不得分。</w:t>
            </w:r>
          </w:p>
        </w:tc>
        <w:tc>
          <w:tcPr>
            <w:tcW w:w="384" w:type="pct"/>
            <w:vAlign w:val="center"/>
          </w:tcPr>
          <w:p>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FF0000"/>
                <w:sz w:val="24"/>
                <w:szCs w:val="24"/>
                <w:lang w:val="en-US" w:eastAsia="zh-CN"/>
              </w:rPr>
              <w:t>10</w:t>
            </w:r>
          </w:p>
        </w:tc>
      </w:tr>
    </w:tbl>
    <w:p>
      <w:pPr>
        <w:pStyle w:val="15"/>
        <w:rPr>
          <w:rFonts w:hint="eastAsia" w:ascii="宋体" w:hAnsi="宋体" w:cs="宋体"/>
          <w:color w:val="auto"/>
          <w:szCs w:val="21"/>
        </w:rPr>
      </w:pPr>
    </w:p>
    <w:p>
      <w:pPr>
        <w:spacing w:line="360" w:lineRule="auto"/>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rPr>
        <w:t>注：全体评审委员会对供应商评分的算数平均值即为该供应商的最终评</w:t>
      </w:r>
      <w:r>
        <w:rPr>
          <w:rFonts w:hint="eastAsia" w:ascii="宋体" w:hAnsi="宋体" w:eastAsia="宋体" w:cs="宋体"/>
          <w:color w:val="auto"/>
          <w:sz w:val="24"/>
          <w:szCs w:val="24"/>
          <w:lang w:val="en-US" w:eastAsia="zh-CN"/>
        </w:rPr>
        <w:t>标</w:t>
      </w:r>
      <w:r>
        <w:rPr>
          <w:rFonts w:hint="default" w:ascii="宋体" w:hAnsi="宋体" w:eastAsia="宋体" w:cs="宋体"/>
          <w:color w:val="auto"/>
          <w:sz w:val="24"/>
          <w:szCs w:val="24"/>
        </w:rPr>
        <w:t>得分（不得去评分项目的最高得分和最低得分），评分分值计算保留小数点后两位，小数点后第三位“四舍五入</w:t>
      </w:r>
      <w:r>
        <w:rPr>
          <w:rFonts w:hint="default" w:ascii="宋体" w:hAnsi="宋体" w:eastAsia="宋体" w:cs="宋体"/>
          <w:color w:val="auto"/>
          <w:sz w:val="24"/>
          <w:szCs w:val="24"/>
          <w:lang w:val="en-US" w:eastAsia="zh-CN"/>
        </w:rPr>
        <w:t>’。</w:t>
      </w:r>
    </w:p>
    <w:p>
      <w:pPr>
        <w:spacing w:line="240" w:lineRule="auto"/>
        <w:jc w:val="left"/>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pStyle w:val="3"/>
        <w:numPr>
          <w:ilvl w:val="0"/>
          <w:numId w:val="1"/>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2"/>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pStyle w:val="16"/>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snapToGrid/>
        <w:spacing w:line="240" w:lineRule="auto"/>
        <w:jc w:val="left"/>
        <w:rPr>
          <w:rFonts w:hint="eastAsia" w:ascii="宋体" w:hAnsi="宋体" w:cs="宋体"/>
          <w:b/>
          <w:color w:val="auto"/>
          <w:sz w:val="28"/>
          <w:szCs w:val="28"/>
        </w:rPr>
      </w:pPr>
      <w:r>
        <w:rPr>
          <w:rFonts w:hint="eastAsia" w:ascii="宋体" w:hAnsi="宋体" w:cs="宋体"/>
          <w:b/>
          <w:color w:val="auto"/>
          <w:sz w:val="28"/>
          <w:szCs w:val="28"/>
        </w:rPr>
        <w:br w:type="page"/>
      </w: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5"/>
        <w:rPr>
          <w:rFonts w:hint="eastAsia"/>
          <w:color w:val="auto"/>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一、法定代表人或非独立法人投标人的负责人的授权委托书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w:t>
      </w:r>
      <w:r>
        <w:rPr>
          <w:rFonts w:hint="eastAsia" w:ascii="宋体" w:hAnsi="宋体" w:cs="宋体"/>
          <w:color w:val="auto"/>
          <w:kern w:val="0"/>
          <w:sz w:val="24"/>
          <w:lang w:val="en-US" w:eastAsia="zh-CN"/>
        </w:rPr>
        <w:t>或负责人</w:t>
      </w:r>
      <w:r>
        <w:rPr>
          <w:rFonts w:hint="eastAsia" w:ascii="宋体" w:hAnsi="宋体" w:cs="宋体"/>
          <w:color w:val="auto"/>
          <w:kern w:val="0"/>
          <w:sz w:val="24"/>
        </w:rPr>
        <w:t>，现授权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法定代表人或非独立法人投标人的负责人身份证（正面、反面）复印件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法定代表人或非独立法人投标人的负责人（签字）：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snapToGrid/>
        <w:spacing w:line="240" w:lineRule="auto"/>
        <w:rPr>
          <w:rFonts w:hint="eastAsia" w:ascii="宋体" w:hAnsi="宋体" w:cs="宋体"/>
          <w:b/>
          <w:color w:val="auto"/>
          <w:sz w:val="28"/>
          <w:szCs w:val="28"/>
        </w:rPr>
      </w:pPr>
      <w:r>
        <w:rPr>
          <w:rFonts w:hint="eastAsia" w:ascii="宋体" w:hAnsi="宋体" w:cs="宋体"/>
          <w:b/>
          <w:color w:val="auto"/>
          <w:sz w:val="28"/>
          <w:szCs w:val="28"/>
        </w:rPr>
        <w:br w:type="page"/>
      </w: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val="en-US" w:eastAsia="zh-CN"/>
        </w:rPr>
        <w:t>法定代表人或非独立法人投标人的负责人</w:t>
      </w:r>
      <w:r>
        <w:rPr>
          <w:rFonts w:hint="eastAsia" w:ascii="宋体" w:hAnsi="宋体" w:cs="宋体"/>
          <w:color w:val="auto"/>
          <w:sz w:val="24"/>
        </w:rPr>
        <w:t>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w:t>
      </w:r>
      <w:r>
        <w:rPr>
          <w:rFonts w:hint="eastAsia" w:ascii="宋体" w:hAnsi="宋体" w:eastAsia="宋体" w:cs="Times New Roman"/>
          <w:b w:val="0"/>
          <w:bCs w:val="0"/>
          <w:color w:val="auto"/>
          <w:kern w:val="2"/>
          <w:sz w:val="24"/>
          <w:szCs w:val="24"/>
          <w:lang w:val="en-US" w:eastAsia="zh-CN" w:bidi="ar-SA"/>
        </w:rPr>
        <w:sym w:font="Wingdings" w:char="00A8"/>
      </w:r>
      <w:r>
        <w:rPr>
          <w:rFonts w:hint="eastAsia" w:ascii="宋体" w:hAnsi="宋体" w:eastAsia="宋体" w:cs="Times New Roman"/>
          <w:b w:val="0"/>
          <w:bCs w:val="0"/>
          <w:color w:val="auto"/>
          <w:kern w:val="2"/>
          <w:sz w:val="24"/>
          <w:szCs w:val="24"/>
          <w:lang w:val="en-US" w:eastAsia="zh-CN" w:bidi="ar-SA"/>
        </w:rPr>
        <w:t>大型、</w:t>
      </w:r>
      <w:r>
        <w:rPr>
          <w:rFonts w:hint="eastAsia" w:ascii="宋体" w:hAnsi="宋体" w:eastAsia="宋体" w:cs="Times New Roman"/>
          <w:b w:val="0"/>
          <w:bCs w:val="0"/>
          <w:color w:val="auto"/>
          <w:kern w:val="2"/>
          <w:sz w:val="24"/>
          <w:szCs w:val="24"/>
          <w:lang w:val="en-US" w:eastAsia="zh-CN" w:bidi="ar-SA"/>
        </w:rPr>
        <w:sym w:font="Wingdings" w:char="00A8"/>
      </w:r>
      <w:r>
        <w:rPr>
          <w:rFonts w:hint="eastAsia" w:ascii="宋体" w:hAnsi="宋体" w:eastAsia="宋体" w:cs="Times New Roman"/>
          <w:b w:val="0"/>
          <w:bCs w:val="0"/>
          <w:color w:val="auto"/>
          <w:kern w:val="2"/>
          <w:sz w:val="24"/>
          <w:szCs w:val="24"/>
          <w:lang w:val="en-US" w:eastAsia="zh-CN" w:bidi="ar-SA"/>
        </w:rPr>
        <w:t>中型、</w:t>
      </w:r>
      <w:r>
        <w:rPr>
          <w:rFonts w:hint="eastAsia" w:ascii="宋体" w:hAnsi="宋体" w:eastAsia="宋体" w:cs="Times New Roman"/>
          <w:b w:val="0"/>
          <w:bCs w:val="0"/>
          <w:color w:val="auto"/>
          <w:kern w:val="2"/>
          <w:sz w:val="24"/>
          <w:szCs w:val="24"/>
          <w:lang w:val="en-US" w:eastAsia="zh-CN" w:bidi="ar-SA"/>
        </w:rPr>
        <w:sym w:font="Wingdings" w:char="00A8"/>
      </w:r>
      <w:r>
        <w:rPr>
          <w:rFonts w:hint="eastAsia" w:ascii="宋体" w:hAnsi="宋体" w:eastAsia="宋体" w:cs="Times New Roman"/>
          <w:b w:val="0"/>
          <w:bCs w:val="0"/>
          <w:color w:val="auto"/>
          <w:kern w:val="2"/>
          <w:sz w:val="24"/>
          <w:szCs w:val="24"/>
          <w:lang w:val="en-US" w:eastAsia="zh-CN" w:bidi="ar-SA"/>
        </w:rPr>
        <w:t>小型、</w:t>
      </w:r>
      <w:r>
        <w:rPr>
          <w:rFonts w:hint="eastAsia" w:ascii="宋体" w:hAnsi="宋体" w:eastAsia="宋体" w:cs="Times New Roman"/>
          <w:b w:val="0"/>
          <w:bCs w:val="0"/>
          <w:color w:val="auto"/>
          <w:kern w:val="2"/>
          <w:sz w:val="24"/>
          <w:szCs w:val="24"/>
          <w:lang w:val="en-US" w:eastAsia="zh-CN" w:bidi="ar-SA"/>
        </w:rPr>
        <w:sym w:font="Wingdings" w:char="00A8"/>
      </w:r>
      <w:r>
        <w:rPr>
          <w:rFonts w:hint="eastAsia" w:ascii="宋体" w:hAnsi="宋体" w:eastAsia="宋体" w:cs="Times New Roman"/>
          <w:b w:val="0"/>
          <w:bCs w:val="0"/>
          <w:color w:val="auto"/>
          <w:kern w:val="2"/>
          <w:sz w:val="24"/>
          <w:szCs w:val="24"/>
          <w:lang w:val="en-US" w:eastAsia="zh-CN" w:bidi="ar-SA"/>
        </w:rPr>
        <w:t>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w:t>
      </w:r>
      <w:r>
        <w:rPr>
          <w:rFonts w:hint="eastAsia" w:ascii="宋体" w:hAnsi="宋体" w:cs="Times New Roman"/>
          <w:b w:val="0"/>
          <w:bCs w:val="0"/>
          <w:color w:val="auto"/>
          <w:kern w:val="2"/>
          <w:sz w:val="24"/>
          <w:szCs w:val="24"/>
          <w:lang w:val="en-US" w:eastAsia="zh-CN" w:bidi="ar-SA"/>
        </w:rPr>
        <w:t>（单位负责人）</w:t>
      </w:r>
      <w:r>
        <w:rPr>
          <w:rFonts w:hint="eastAsia" w:ascii="宋体" w:hAnsi="宋体" w:eastAsia="宋体" w:cs="Times New Roman"/>
          <w:b w:val="0"/>
          <w:bCs w:val="0"/>
          <w:color w:val="auto"/>
          <w:kern w:val="2"/>
          <w:sz w:val="24"/>
          <w:szCs w:val="24"/>
          <w:lang w:val="en-US" w:eastAsia="zh-CN" w:bidi="ar-SA"/>
        </w:rPr>
        <w:t>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footerReference r:id="rId6" w:type="default"/>
          <w:pgSz w:w="11906" w:h="16838"/>
          <w:pgMar w:top="1191" w:right="1587" w:bottom="1020" w:left="1587" w:header="567" w:footer="283" w:gutter="0"/>
          <w:pgNumType w:fmt="decimal"/>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pPr>
        <w:pStyle w:val="15"/>
        <w:rPr>
          <w:rFonts w:hint="eastAsia"/>
          <w:color w:val="auto"/>
          <w:lang w:eastAsia="zh-CN"/>
        </w:rPr>
      </w:pPr>
    </w:p>
    <w:p>
      <w:pPr>
        <w:spacing w:before="120" w:beforeLines="50" w:after="120" w:afterLines="50" w:line="276" w:lineRule="auto"/>
        <w:jc w:val="center"/>
        <w:rPr>
          <w:b/>
          <w:color w:val="auto"/>
          <w:sz w:val="24"/>
        </w:rPr>
      </w:pPr>
      <w:r>
        <w:rPr>
          <w:b/>
          <w:color w:val="auto"/>
          <w:sz w:val="24"/>
        </w:rPr>
        <w:t>采购需求响应</w:t>
      </w:r>
    </w:p>
    <w:p>
      <w:pPr>
        <w:adjustRightInd w:val="0"/>
        <w:snapToGrid w:val="0"/>
        <w:spacing w:line="360" w:lineRule="auto"/>
        <w:rPr>
          <w:color w:val="auto"/>
          <w:szCs w:val="21"/>
        </w:rPr>
      </w:pPr>
      <w:r>
        <w:rPr>
          <w:rFonts w:hint="eastAsia"/>
          <w:color w:val="auto"/>
          <w:sz w:val="24"/>
        </w:rPr>
        <w:t>项目</w:t>
      </w:r>
      <w:r>
        <w:rPr>
          <w:color w:val="auto"/>
          <w:sz w:val="24"/>
        </w:rPr>
        <w:t xml:space="preserve">编号：                    项目名称：                     </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tcPr>
          <w:p>
            <w:pPr>
              <w:adjustRightInd w:val="0"/>
              <w:snapToGrid w:val="0"/>
              <w:spacing w:before="50" w:line="360" w:lineRule="auto"/>
              <w:jc w:val="center"/>
              <w:rPr>
                <w:color w:val="auto"/>
              </w:rPr>
            </w:pPr>
            <w:r>
              <w:rPr>
                <w:color w:val="auto"/>
              </w:rPr>
              <w:t>招标文件要求</w:t>
            </w:r>
          </w:p>
        </w:tc>
        <w:tc>
          <w:tcPr>
            <w:tcW w:w="962" w:type="pct"/>
          </w:tcPr>
          <w:p>
            <w:pPr>
              <w:adjustRightInd w:val="0"/>
              <w:snapToGrid w:val="0"/>
              <w:spacing w:before="50" w:line="360" w:lineRule="auto"/>
              <w:jc w:val="center"/>
              <w:rPr>
                <w:color w:val="auto"/>
              </w:rPr>
            </w:pPr>
            <w:r>
              <w:rPr>
                <w:color w:val="auto"/>
              </w:rPr>
              <w:t>投标文件应答</w:t>
            </w:r>
          </w:p>
        </w:tc>
        <w:tc>
          <w:tcPr>
            <w:tcW w:w="905" w:type="pct"/>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vAlign w:val="center"/>
          </w:tcPr>
          <w:p>
            <w:pPr>
              <w:adjustRightInd w:val="0"/>
              <w:snapToGrid w:val="0"/>
              <w:spacing w:before="50" w:line="360" w:lineRule="auto"/>
              <w:ind w:left="-88" w:leftChars="-42"/>
              <w:jc w:val="center"/>
              <w:rPr>
                <w:color w:val="auto"/>
                <w:szCs w:val="21"/>
              </w:rPr>
            </w:pPr>
          </w:p>
        </w:tc>
        <w:tc>
          <w:tcPr>
            <w:tcW w:w="1123" w:type="pct"/>
            <w:vAlign w:val="center"/>
          </w:tcPr>
          <w:p>
            <w:pPr>
              <w:adjustRightInd w:val="0"/>
              <w:snapToGrid w:val="0"/>
              <w:spacing w:before="50" w:line="360" w:lineRule="auto"/>
              <w:ind w:left="-88" w:leftChars="-42"/>
              <w:jc w:val="center"/>
              <w:rPr>
                <w:color w:val="auto"/>
                <w:szCs w:val="21"/>
              </w:rPr>
            </w:pPr>
          </w:p>
        </w:tc>
        <w:tc>
          <w:tcPr>
            <w:tcW w:w="1000" w:type="pct"/>
            <w:vAlign w:val="center"/>
          </w:tcPr>
          <w:p>
            <w:pPr>
              <w:adjustRightInd w:val="0"/>
              <w:snapToGrid w:val="0"/>
              <w:spacing w:before="50" w:line="360" w:lineRule="auto"/>
              <w:ind w:left="-88" w:leftChars="-42"/>
              <w:jc w:val="center"/>
              <w:rPr>
                <w:color w:val="auto"/>
                <w:szCs w:val="21"/>
              </w:rPr>
            </w:pPr>
          </w:p>
        </w:tc>
        <w:tc>
          <w:tcPr>
            <w:tcW w:w="962" w:type="pct"/>
            <w:vAlign w:val="center"/>
          </w:tcPr>
          <w:p>
            <w:pPr>
              <w:adjustRightInd w:val="0"/>
              <w:snapToGrid w:val="0"/>
              <w:spacing w:before="50" w:line="360" w:lineRule="auto"/>
              <w:ind w:left="-88" w:leftChars="-42"/>
              <w:jc w:val="center"/>
              <w:rPr>
                <w:color w:val="auto"/>
                <w:szCs w:val="21"/>
              </w:rPr>
            </w:pPr>
          </w:p>
        </w:tc>
        <w:tc>
          <w:tcPr>
            <w:tcW w:w="905" w:type="pct"/>
            <w:vAlign w:val="center"/>
          </w:tcPr>
          <w:p>
            <w:pPr>
              <w:adjustRightInd w:val="0"/>
              <w:snapToGrid w:val="0"/>
              <w:spacing w:before="50" w:line="360" w:lineRule="auto"/>
              <w:ind w:left="-88" w:leftChars="-42"/>
              <w:jc w:val="center"/>
              <w:rPr>
                <w:color w:val="auto"/>
                <w:szCs w:val="21"/>
              </w:rPr>
            </w:pPr>
          </w:p>
        </w:tc>
        <w:tc>
          <w:tcPr>
            <w:tcW w:w="634" w:type="pct"/>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vAlign w:val="center"/>
          </w:tcPr>
          <w:p>
            <w:pPr>
              <w:adjustRightInd w:val="0"/>
              <w:snapToGrid w:val="0"/>
              <w:spacing w:before="50" w:line="360" w:lineRule="auto"/>
              <w:ind w:left="-88" w:leftChars="-42"/>
              <w:jc w:val="center"/>
              <w:rPr>
                <w:color w:val="auto"/>
                <w:szCs w:val="21"/>
              </w:rPr>
            </w:pPr>
          </w:p>
        </w:tc>
        <w:tc>
          <w:tcPr>
            <w:tcW w:w="1123" w:type="pct"/>
            <w:vAlign w:val="center"/>
          </w:tcPr>
          <w:p>
            <w:pPr>
              <w:adjustRightInd w:val="0"/>
              <w:snapToGrid w:val="0"/>
              <w:spacing w:before="50" w:line="360" w:lineRule="auto"/>
              <w:ind w:left="-88" w:leftChars="-42"/>
              <w:jc w:val="center"/>
              <w:rPr>
                <w:color w:val="auto"/>
                <w:szCs w:val="21"/>
              </w:rPr>
            </w:pPr>
          </w:p>
        </w:tc>
        <w:tc>
          <w:tcPr>
            <w:tcW w:w="1000" w:type="pct"/>
            <w:vAlign w:val="center"/>
          </w:tcPr>
          <w:p>
            <w:pPr>
              <w:adjustRightInd w:val="0"/>
              <w:snapToGrid w:val="0"/>
              <w:spacing w:before="50" w:line="360" w:lineRule="auto"/>
              <w:ind w:left="-88" w:leftChars="-42"/>
              <w:jc w:val="center"/>
              <w:rPr>
                <w:color w:val="auto"/>
                <w:szCs w:val="21"/>
              </w:rPr>
            </w:pPr>
          </w:p>
        </w:tc>
        <w:tc>
          <w:tcPr>
            <w:tcW w:w="962" w:type="pct"/>
            <w:vAlign w:val="center"/>
          </w:tcPr>
          <w:p>
            <w:pPr>
              <w:adjustRightInd w:val="0"/>
              <w:snapToGrid w:val="0"/>
              <w:spacing w:before="50" w:line="360" w:lineRule="auto"/>
              <w:ind w:left="-88" w:leftChars="-42"/>
              <w:jc w:val="center"/>
              <w:rPr>
                <w:color w:val="auto"/>
                <w:szCs w:val="21"/>
              </w:rPr>
            </w:pPr>
          </w:p>
        </w:tc>
        <w:tc>
          <w:tcPr>
            <w:tcW w:w="905" w:type="pct"/>
            <w:vAlign w:val="center"/>
          </w:tcPr>
          <w:p>
            <w:pPr>
              <w:adjustRightInd w:val="0"/>
              <w:snapToGrid w:val="0"/>
              <w:spacing w:before="50" w:line="360" w:lineRule="auto"/>
              <w:ind w:left="-88" w:leftChars="-42"/>
              <w:jc w:val="center"/>
              <w:rPr>
                <w:color w:val="auto"/>
                <w:szCs w:val="21"/>
              </w:rPr>
            </w:pPr>
          </w:p>
        </w:tc>
        <w:tc>
          <w:tcPr>
            <w:tcW w:w="634" w:type="pct"/>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vAlign w:val="center"/>
          </w:tcPr>
          <w:p>
            <w:pPr>
              <w:adjustRightInd w:val="0"/>
              <w:snapToGrid w:val="0"/>
              <w:spacing w:before="50" w:line="360" w:lineRule="auto"/>
              <w:ind w:left="-88" w:leftChars="-42"/>
              <w:jc w:val="center"/>
              <w:rPr>
                <w:color w:val="auto"/>
                <w:szCs w:val="21"/>
              </w:rPr>
            </w:pPr>
          </w:p>
        </w:tc>
        <w:tc>
          <w:tcPr>
            <w:tcW w:w="1123" w:type="pct"/>
            <w:vAlign w:val="center"/>
          </w:tcPr>
          <w:p>
            <w:pPr>
              <w:adjustRightInd w:val="0"/>
              <w:snapToGrid w:val="0"/>
              <w:spacing w:before="50" w:line="360" w:lineRule="auto"/>
              <w:ind w:left="-88" w:leftChars="-42"/>
              <w:jc w:val="center"/>
              <w:rPr>
                <w:color w:val="auto"/>
                <w:szCs w:val="21"/>
              </w:rPr>
            </w:pPr>
          </w:p>
        </w:tc>
        <w:tc>
          <w:tcPr>
            <w:tcW w:w="1000" w:type="pct"/>
            <w:vAlign w:val="center"/>
          </w:tcPr>
          <w:p>
            <w:pPr>
              <w:adjustRightInd w:val="0"/>
              <w:snapToGrid w:val="0"/>
              <w:spacing w:before="50" w:line="360" w:lineRule="auto"/>
              <w:ind w:left="-88" w:leftChars="-42"/>
              <w:jc w:val="center"/>
              <w:rPr>
                <w:color w:val="auto"/>
                <w:szCs w:val="21"/>
              </w:rPr>
            </w:pPr>
          </w:p>
        </w:tc>
        <w:tc>
          <w:tcPr>
            <w:tcW w:w="962" w:type="pct"/>
            <w:vAlign w:val="center"/>
          </w:tcPr>
          <w:p>
            <w:pPr>
              <w:adjustRightInd w:val="0"/>
              <w:snapToGrid w:val="0"/>
              <w:spacing w:before="50" w:line="360" w:lineRule="auto"/>
              <w:ind w:left="-88" w:leftChars="-42"/>
              <w:jc w:val="center"/>
              <w:rPr>
                <w:color w:val="auto"/>
                <w:szCs w:val="21"/>
              </w:rPr>
            </w:pPr>
          </w:p>
        </w:tc>
        <w:tc>
          <w:tcPr>
            <w:tcW w:w="905" w:type="pct"/>
            <w:vAlign w:val="center"/>
          </w:tcPr>
          <w:p>
            <w:pPr>
              <w:adjustRightInd w:val="0"/>
              <w:snapToGrid w:val="0"/>
              <w:spacing w:before="50" w:line="360" w:lineRule="auto"/>
              <w:ind w:left="-88" w:leftChars="-42"/>
              <w:jc w:val="center"/>
              <w:rPr>
                <w:color w:val="auto"/>
                <w:szCs w:val="21"/>
              </w:rPr>
            </w:pPr>
          </w:p>
        </w:tc>
        <w:tc>
          <w:tcPr>
            <w:tcW w:w="634" w:type="pct"/>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w:t>
      </w:r>
      <w:r>
        <w:rPr>
          <w:rFonts w:eastAsia="宋体"/>
          <w:color w:val="auto"/>
          <w:sz w:val="24"/>
        </w:rPr>
        <w:t>投标人应根据招标文件第</w:t>
      </w:r>
      <w:r>
        <w:rPr>
          <w:rFonts w:hint="default" w:eastAsia="宋体"/>
          <w:color w:val="auto"/>
          <w:sz w:val="24"/>
          <w:lang w:val="en-US" w:eastAsia="zh-CN"/>
        </w:rPr>
        <w:t>二</w:t>
      </w:r>
      <w:r>
        <w:rPr>
          <w:rFonts w:eastAsia="宋体"/>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default" w:ascii="Times New Roman" w:hAnsi="Times New Roman" w:eastAsia="宋体" w:cs="Times New Roman"/>
          <w:color w:val="auto"/>
          <w:sz w:val="24"/>
          <w:shd w:val="clear" w:color="auto" w:fill="auto"/>
        </w:rPr>
        <w:t>采购需求必须全部满足，不得有偏离，否则投标无效</w:t>
      </w:r>
      <w:r>
        <w:rPr>
          <w:rFonts w:eastAsia="宋体"/>
          <w:color w:val="auto"/>
          <w:sz w:val="24"/>
        </w:rPr>
        <w:t>；</w:t>
      </w:r>
    </w:p>
    <w:p>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p>
    <w:bookmarkEnd w:id="3"/>
    <w:bookmarkEnd w:id="4"/>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before="120" w:beforeLines="50" w:line="360" w:lineRule="auto"/>
        <w:rPr>
          <w:color w:val="auto"/>
          <w:sz w:val="24"/>
        </w:rPr>
      </w:pPr>
    </w:p>
    <w:p>
      <w:pPr>
        <w:spacing w:before="120" w:beforeLines="50" w:after="120" w:afterLines="50" w:line="276" w:lineRule="auto"/>
        <w:rPr>
          <w:rFonts w:hint="eastAsia" w:eastAsia="宋体"/>
          <w:b/>
          <w:bCs/>
          <w:color w:val="auto"/>
          <w:sz w:val="28"/>
          <w:szCs w:val="28"/>
          <w:lang w:eastAsia="zh-CN"/>
        </w:rPr>
      </w:pPr>
    </w:p>
    <w:p>
      <w:pPr>
        <w:pStyle w:val="15"/>
        <w:rPr>
          <w:rFonts w:hint="eastAsia"/>
          <w:color w:val="auto"/>
          <w:lang w:eastAsia="zh-CN"/>
        </w:rPr>
      </w:pPr>
    </w:p>
    <w:p>
      <w:pPr>
        <w:spacing w:before="120" w:beforeLines="50" w:after="120" w:afterLines="50" w:line="276" w:lineRule="auto"/>
        <w:jc w:val="center"/>
        <w:rPr>
          <w:rFonts w:hint="eastAsia" w:ascii="宋体" w:hAnsi="宋体" w:cs="宋体"/>
          <w:color w:val="auto"/>
          <w:sz w:val="24"/>
        </w:rPr>
      </w:pPr>
    </w:p>
    <w:p>
      <w:pPr>
        <w:adjustRightInd w:val="0"/>
        <w:snapToGrid w:val="0"/>
        <w:spacing w:before="120" w:beforeLines="50" w:line="360" w:lineRule="auto"/>
        <w:rPr>
          <w:rFonts w:ascii="宋体" w:hAnsi="宋体" w:cs="宋体"/>
          <w:b/>
          <w:color w:val="auto"/>
          <w:sz w:val="24"/>
        </w:rPr>
      </w:pPr>
    </w:p>
    <w:p>
      <w:pPr>
        <w:pStyle w:val="16"/>
        <w:rPr>
          <w:color w:val="auto"/>
        </w:rPr>
      </w:pPr>
    </w:p>
    <w:p>
      <w:pPr>
        <w:pStyle w:val="16"/>
        <w:rPr>
          <w:color w:val="auto"/>
        </w:rPr>
      </w:pPr>
    </w:p>
    <w:p>
      <w:pPr>
        <w:pStyle w:val="16"/>
        <w:rPr>
          <w:color w:val="auto"/>
        </w:rPr>
      </w:pPr>
    </w:p>
    <w:p>
      <w:pPr>
        <w:rPr>
          <w:color w:val="auto"/>
        </w:rPr>
      </w:pPr>
      <w:r>
        <w:rPr>
          <w:color w:val="auto"/>
        </w:rPr>
        <w:br w:type="page"/>
      </w:r>
    </w:p>
    <w:p>
      <w:pPr>
        <w:pStyle w:val="17"/>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pPr>
        <w:pStyle w:val="16"/>
        <w:rPr>
          <w:color w:val="auto"/>
        </w:rPr>
      </w:pPr>
    </w:p>
    <w:p>
      <w:pPr>
        <w:pStyle w:val="16"/>
        <w:rPr>
          <w:rFonts w:hint="eastAsia"/>
          <w:color w:val="auto"/>
        </w:rPr>
      </w:pPr>
    </w:p>
    <w:p>
      <w:pPr>
        <w:pStyle w:val="16"/>
        <w:rPr>
          <w:color w:val="auto"/>
        </w:rPr>
      </w:pPr>
    </w:p>
    <w:p>
      <w:pPr>
        <w:pStyle w:val="16"/>
        <w:rPr>
          <w:color w:val="auto"/>
        </w:rPr>
      </w:pPr>
    </w:p>
    <w:p>
      <w:pPr>
        <w:pStyle w:val="16"/>
        <w:rPr>
          <w:color w:val="auto"/>
        </w:rPr>
      </w:pPr>
    </w:p>
    <w:p>
      <w:pPr>
        <w:pStyle w:val="16"/>
        <w:rPr>
          <w:color w:val="auto"/>
        </w:rPr>
      </w:pPr>
    </w:p>
    <w:p>
      <w:pPr>
        <w:pStyle w:val="16"/>
        <w:rPr>
          <w:color w:val="auto"/>
        </w:rPr>
      </w:pPr>
    </w:p>
    <w:p>
      <w:pPr>
        <w:pStyle w:val="16"/>
        <w:rPr>
          <w:rFonts w:hint="eastAsia"/>
          <w:color w:val="auto"/>
        </w:rPr>
      </w:pPr>
    </w:p>
    <w:p>
      <w:pPr>
        <w:pStyle w:val="17"/>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7"/>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7"/>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pPr>
        <w:pStyle w:val="15"/>
        <w:rPr>
          <w:rFonts w:hint="eastAsia"/>
          <w:color w:val="auto"/>
          <w:lang w:eastAsia="zh-CN"/>
        </w:rPr>
      </w:pPr>
    </w:p>
    <w:p>
      <w:pPr>
        <w:pStyle w:val="17"/>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7"/>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7"/>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17"/>
        <w:tabs>
          <w:tab w:val="left" w:pos="2312"/>
          <w:tab w:val="left" w:pos="2313"/>
        </w:tabs>
        <w:autoSpaceDE w:val="0"/>
        <w:autoSpaceDN w:val="0"/>
        <w:spacing w:before="43"/>
        <w:ind w:left="2312" w:firstLine="0" w:firstLineChars="0"/>
        <w:rPr>
          <w:rFonts w:ascii="Times New Roman" w:hAnsi="Times New Roman"/>
          <w:b/>
          <w:bCs/>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p>
    <w:p>
      <w:pPr>
        <w:rPr>
          <w:color w:val="auto"/>
        </w:rPr>
      </w:pPr>
    </w:p>
    <w:p>
      <w:pPr>
        <w:rPr>
          <w:color w:val="auto"/>
        </w:rPr>
      </w:pPr>
    </w:p>
    <w:p/>
    <w:sectPr>
      <w:headerReference r:id="rId7" w:type="default"/>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1889488-40C8-4BA9-8198-E3DFF1A6B548}"/>
  </w:font>
  <w:font w:name="Arial">
    <w:panose1 w:val="020B0604020202020204"/>
    <w:charset w:val="01"/>
    <w:family w:val="swiss"/>
    <w:pitch w:val="default"/>
    <w:sig w:usb0="E0002EFF" w:usb1="C000785B" w:usb2="00000009" w:usb3="00000000" w:csb0="400001FF" w:csb1="FFFF0000"/>
    <w:embedRegular r:id="rId2" w:fontKey="{1D1DF803-4BA3-4972-881D-0DFFE6DCF95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001010101"/>
    <w:charset w:val="86"/>
    <w:family w:val="modern"/>
    <w:pitch w:val="default"/>
    <w:sig w:usb0="00000000" w:usb1="00000000" w:usb2="00000000" w:usb3="00000000" w:csb0="00040000" w:csb1="00000000"/>
  </w:font>
  <w:font w:name="仿宋_GB2312">
    <w:altName w:val="仿宋"/>
    <w:panose1 w:val="02010609030001010101"/>
    <w:charset w:val="86"/>
    <w:family w:val="auto"/>
    <w:pitch w:val="default"/>
    <w:sig w:usb0="00000000" w:usb1="00000000" w:usb2="00000000" w:usb3="00000000" w:csb0="00040000" w:csb1="00000000"/>
    <w:embedRegular r:id="rId3" w:fontKey="{B3610140-6ADB-4763-8B4E-E82C5A013D69}"/>
  </w:font>
  <w:font w:name="方正小标宋简体">
    <w:panose1 w:val="02000000000000000000"/>
    <w:charset w:val="86"/>
    <w:family w:val="auto"/>
    <w:pitch w:val="default"/>
    <w:sig w:usb0="00000001" w:usb1="08000000" w:usb2="00000000" w:usb3="00000000" w:csb0="00040000" w:csb1="00000000"/>
    <w:embedRegular r:id="rId4" w:fontKey="{8270E1B2-3072-4976-A24B-554F4C96439A}"/>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仿宋_GB2312" w:eastAsia="仿宋_GB2312"/>
        <w:bCs/>
        <w:u w:val="single"/>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仿宋_GB2312" w:eastAsia="仿宋_GB2312"/>
        <w:bCs/>
        <w:u w:val="single"/>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8"/>
                          </w:pPr>
                          <w:r>
                            <w:fldChar w:fldCharType="begin"/>
                          </w:r>
                          <w:r>
                            <w:instrText xml:space="preserve"> PAGE  \* MERGEFORMAT </w:instrText>
                          </w:r>
                          <w:r>
                            <w:fldChar w:fldCharType="separate"/>
                          </w:r>
                          <w:r>
                            <w:t>12</w:t>
                          </w:r>
                          <w: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jlU1nRAQAAn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Y5VNZ0QEAAJ4DAAAOAAAAAAAAAAEAIAAAAB8BAABk&#10;cnMvZTJvRG9jLnhtbFBLBQYAAAAABgAGAFkBAABi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12</w:t>
                    </w:r>
                    <w:r>
                      <w:fldChar w:fldCharType="end"/>
                    </w:r>
                  </w:p>
                </w:txbxContent>
              </v:textbox>
            </v:rect>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仿宋_GB2312" w:eastAsia="仿宋_GB2312"/>
        <w:bCs/>
        <w:u w:val="single"/>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8"/>
                          </w:pPr>
                          <w:r>
                            <w:fldChar w:fldCharType="begin"/>
                          </w:r>
                          <w:r>
                            <w:instrText xml:space="preserve"> PAGE  \* MERGEFORMAT </w:instrText>
                          </w:r>
                          <w:r>
                            <w:fldChar w:fldCharType="separate"/>
                          </w:r>
                          <w:r>
                            <w:t>12</w:t>
                          </w:r>
                          <w: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D/3PunTAQAAngMAAA4AAAAAAAAAAQAgAAAAHwEA&#10;AGRycy9lMm9Eb2MueG1sUEsFBgAAAAAGAAYAWQEAAGQ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12</w:t>
                    </w:r>
                    <w:r>
                      <w:fldChar w:fldCharType="end"/>
                    </w:r>
                  </w:p>
                </w:txbxContent>
              </v:textbox>
            </v:rect>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mYWJjZGZlNDk1ZTBjYzYxOTM1ZjRhMmQ5NzUzMTQifQ=="/>
  </w:docVars>
  <w:rsids>
    <w:rsidRoot w:val="00000000"/>
    <w:rsid w:val="075449B1"/>
    <w:rsid w:val="088E5CA1"/>
    <w:rsid w:val="1B217891"/>
    <w:rsid w:val="2983695B"/>
    <w:rsid w:val="3FDF0E81"/>
    <w:rsid w:val="4BE87E6C"/>
    <w:rsid w:val="4EA336E6"/>
    <w:rsid w:val="571701DC"/>
    <w:rsid w:val="5773063E"/>
    <w:rsid w:val="59EA29D4"/>
    <w:rsid w:val="59FF51D0"/>
    <w:rsid w:val="5B765E19"/>
    <w:rsid w:val="632D5023"/>
    <w:rsid w:val="63F41FD1"/>
    <w:rsid w:val="6F593630"/>
    <w:rsid w:val="719C3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5">
    <w:name w:val="annotation text"/>
    <w:basedOn w:val="1"/>
    <w:qFormat/>
    <w:uiPriority w:val="0"/>
    <w:pPr>
      <w:jc w:val="left"/>
    </w:pPr>
  </w:style>
  <w:style w:type="paragraph" w:styleId="6">
    <w:name w:val="Body Text Indent"/>
    <w:basedOn w:val="1"/>
    <w:next w:val="7"/>
    <w:qFormat/>
    <w:uiPriority w:val="99"/>
    <w:pPr>
      <w:spacing w:line="400" w:lineRule="exact"/>
      <w:ind w:left="630"/>
    </w:pPr>
    <w:rPr>
      <w:rFonts w:ascii="楷体_GB2312"/>
      <w:sz w:val="30"/>
      <w:szCs w:val="30"/>
    </w:rPr>
  </w:style>
  <w:style w:type="paragraph" w:styleId="7">
    <w:name w:val="Body Text First Indent 2"/>
    <w:basedOn w:val="6"/>
    <w:next w:val="1"/>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7"/>
    <w:qFormat/>
    <w:uiPriority w:val="0"/>
    <w:pPr>
      <w:jc w:val="center"/>
    </w:pPr>
    <w:rPr>
      <w:rFonts w:ascii="Arial" w:hAnsi="Arial" w:eastAsia="宋体"/>
      <w:b/>
      <w:sz w:val="28"/>
      <w:szCs w:val="24"/>
    </w:rPr>
  </w:style>
  <w:style w:type="paragraph" w:customStyle="1" w:styleId="15">
    <w:name w:val="列出段落1"/>
    <w:basedOn w:val="1"/>
    <w:qFormat/>
    <w:uiPriority w:val="99"/>
    <w:pPr>
      <w:ind w:firstLine="420" w:firstLineChars="200"/>
    </w:pPr>
  </w:style>
  <w:style w:type="paragraph" w:customStyle="1" w:styleId="16">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5180</Words>
  <Characters>5318</Characters>
  <Paragraphs>368</Paragraphs>
  <TotalTime>0</TotalTime>
  <ScaleCrop>false</ScaleCrop>
  <LinksUpToDate>false</LinksUpToDate>
  <CharactersWithSpaces>6320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2023-12-04T16:42:00Z</dcterms:created>
  <dc:creator>ASUS</dc:creator>
  <cp:lastModifiedBy>极光欣</cp:lastModifiedBy>
  <dcterms:modified xsi:type="dcterms:W3CDTF">2023-12-07T11:18:05Z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51640D3A98384ADD80A8D2AEB95F94E9_13</vt:lpwstr>
  </property>
</Properties>
</file>