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spacing w:line="360" w:lineRule="auto"/>
        <w:jc w:val="center"/>
        <w:rPr>
          <w:rFonts w:hint="eastAsia" w:ascii="黑体" w:eastAsia="黑体"/>
        </w:rPr>
      </w:pPr>
      <w:r>
        <w:rPr>
          <w:rFonts w:hint="eastAsia" w:ascii="黑体" w:eastAsia="黑体"/>
          <w:lang w:eastAsia="zh-CN"/>
        </w:rPr>
        <w:t>心电</w:t>
      </w:r>
      <w:r>
        <w:rPr>
          <w:rFonts w:hint="eastAsia" w:ascii="黑体" w:eastAsia="黑体"/>
        </w:rPr>
        <w:t>监护仪参数</w:t>
      </w:r>
    </w:p>
    <w:p>
      <w:pPr>
        <w:rPr>
          <w:rFonts w:hint="eastAsia" w:asciiTheme="minorEastAsia" w:hAnsiTheme="minorEastAsia" w:eastAsiaTheme="minorEastAsia" w:cstheme="minorEastAsia"/>
          <w:b/>
          <w:bCs/>
          <w:sz w:val="36"/>
          <w:szCs w:val="44"/>
          <w:lang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sz w:val="36"/>
          <w:szCs w:val="44"/>
          <w:lang w:eastAsia="zh-CN"/>
        </w:rPr>
        <w:t>一、技术参数</w:t>
      </w:r>
    </w:p>
    <w:p>
      <w:pPr>
        <w:pStyle w:val="16"/>
        <w:numPr>
          <w:ilvl w:val="0"/>
          <w:numId w:val="1"/>
        </w:numPr>
        <w:autoSpaceDE w:val="0"/>
        <w:autoSpaceDN w:val="0"/>
        <w:adjustRightInd w:val="0"/>
        <w:spacing w:line="360" w:lineRule="auto"/>
        <w:ind w:firstLineChars="0"/>
        <w:jc w:val="left"/>
        <w:rPr>
          <w:rFonts w:cs="宋体" w:asciiTheme="minorEastAsia" w:hAnsiTheme="minorEastAsia" w:eastAsiaTheme="minorEastAsia"/>
          <w:b/>
          <w:kern w:val="0"/>
          <w:szCs w:val="21"/>
        </w:rPr>
      </w:pPr>
      <w:r>
        <w:rPr>
          <w:rFonts w:hint="eastAsia" w:cs="宋体" w:asciiTheme="minorEastAsia" w:hAnsiTheme="minorEastAsia" w:eastAsiaTheme="minorEastAsia"/>
          <w:b/>
          <w:kern w:val="0"/>
          <w:szCs w:val="21"/>
        </w:rPr>
        <w:t>整机要求：</w:t>
      </w:r>
    </w:p>
    <w:p>
      <w:pPr>
        <w:pStyle w:val="16"/>
        <w:numPr>
          <w:ilvl w:val="1"/>
          <w:numId w:val="1"/>
        </w:numPr>
        <w:autoSpaceDE w:val="0"/>
        <w:autoSpaceDN w:val="0"/>
        <w:adjustRightInd w:val="0"/>
        <w:spacing w:line="360" w:lineRule="auto"/>
        <w:ind w:firstLineChars="0"/>
        <w:jc w:val="left"/>
        <w:rPr>
          <w:rFonts w:asciiTheme="minorEastAsia" w:hAnsiTheme="minorEastAsia" w:eastAsiaTheme="minorEastAsia"/>
          <w:szCs w:val="21"/>
        </w:rPr>
      </w:pPr>
      <w:r>
        <w:rPr>
          <w:rFonts w:hint="eastAsia" w:asciiTheme="minorEastAsia" w:hAnsiTheme="minorEastAsia" w:eastAsiaTheme="minorEastAsia"/>
          <w:szCs w:val="21"/>
          <w:lang w:val="en-US" w:eastAsia="zh-CN"/>
        </w:rPr>
        <w:t>▲</w:t>
      </w:r>
      <w:r>
        <w:rPr>
          <w:rFonts w:hint="eastAsia" w:asciiTheme="minorEastAsia" w:hAnsiTheme="minorEastAsia" w:eastAsiaTheme="minorEastAsia"/>
          <w:szCs w:val="21"/>
        </w:rPr>
        <w:t>一体化便携监护仪，整机无风扇设计，配置提手,方便移动</w:t>
      </w:r>
      <w:r>
        <w:rPr>
          <w:rFonts w:hint="eastAsia" w:asciiTheme="minorEastAsia" w:hAnsiTheme="minorEastAsia" w:eastAsiaTheme="minorEastAsia"/>
          <w:szCs w:val="21"/>
          <w:lang w:val="en-US" w:eastAsia="zh-CN"/>
        </w:rPr>
        <w:t>,配备无线联网功能，支持科室监护无线连接中央监护系统。</w:t>
      </w:r>
      <w:r>
        <w:rPr>
          <w:rFonts w:hint="eastAsia" w:asciiTheme="minorEastAsia" w:hAnsiTheme="minorEastAsia" w:eastAsiaTheme="minorEastAsia"/>
          <w:szCs w:val="21"/>
        </w:rPr>
        <w:t xml:space="preserve"> </w:t>
      </w:r>
    </w:p>
    <w:p>
      <w:pPr>
        <w:pStyle w:val="16"/>
        <w:numPr>
          <w:ilvl w:val="1"/>
          <w:numId w:val="1"/>
        </w:numPr>
        <w:autoSpaceDE w:val="0"/>
        <w:autoSpaceDN w:val="0"/>
        <w:adjustRightInd w:val="0"/>
        <w:spacing w:line="360" w:lineRule="auto"/>
        <w:ind w:firstLineChars="0"/>
        <w:jc w:val="left"/>
        <w:rPr>
          <w:rFonts w:asciiTheme="minorEastAsia" w:hAnsiTheme="minorEastAsia" w:eastAsiaTheme="minorEastAsia"/>
          <w:szCs w:val="21"/>
        </w:rPr>
      </w:pPr>
      <w:r>
        <w:rPr>
          <w:rFonts w:hint="eastAsia" w:asciiTheme="minorEastAsia" w:hAnsiTheme="minorEastAsia" w:eastAsiaTheme="minorEastAsia"/>
          <w:szCs w:val="21"/>
        </w:rPr>
        <w:t>≥1</w:t>
      </w:r>
      <w:r>
        <w:rPr>
          <w:rFonts w:hint="eastAsia" w:asciiTheme="minorEastAsia" w:hAnsiTheme="minorEastAsia" w:eastAsiaTheme="minorEastAsia"/>
          <w:szCs w:val="21"/>
          <w:lang w:val="en-US" w:eastAsia="zh-CN"/>
        </w:rPr>
        <w:t>0</w:t>
      </w:r>
      <w:r>
        <w:rPr>
          <w:rFonts w:hint="eastAsia" w:asciiTheme="minorEastAsia" w:hAnsiTheme="minorEastAsia" w:eastAsiaTheme="minorEastAsia"/>
          <w:szCs w:val="21"/>
        </w:rPr>
        <w:t>.1英寸彩色液晶触摸屏，分辨率≥1280*800，≥10通道波形显示</w:t>
      </w:r>
      <w:r>
        <w:rPr>
          <w:rFonts w:hint="eastAsia" w:asciiTheme="minorEastAsia" w:hAnsiTheme="minorEastAsia" w:eastAsiaTheme="minorEastAsia"/>
          <w:szCs w:val="21"/>
          <w:lang w:val="en-US" w:eastAsia="zh-CN"/>
        </w:rPr>
        <w:t>,</w:t>
      </w:r>
      <w:r>
        <w:rPr>
          <w:rFonts w:hint="eastAsia" w:asciiTheme="minorEastAsia" w:hAnsiTheme="minorEastAsia" w:eastAsiaTheme="minorEastAsia"/>
          <w:szCs w:val="21"/>
        </w:rPr>
        <w:t>屏幕标配最新电容屏非电阻屏</w:t>
      </w:r>
      <w:r>
        <w:rPr>
          <w:rFonts w:hint="eastAsia" w:asciiTheme="minorEastAsia" w:hAnsiTheme="minorEastAsia" w:eastAsiaTheme="minorEastAsia"/>
          <w:szCs w:val="21"/>
          <w:lang w:val="en-US" w:eastAsia="zh-CN"/>
        </w:rPr>
        <w:t>,</w:t>
      </w:r>
      <w:r>
        <w:rPr>
          <w:rFonts w:hint="eastAsia" w:asciiTheme="minorEastAsia" w:hAnsiTheme="minorEastAsia" w:eastAsiaTheme="minorEastAsia"/>
          <w:szCs w:val="21"/>
        </w:rPr>
        <w:t>显示屏采用宽视角技术，支持170度可视范围</w:t>
      </w:r>
    </w:p>
    <w:p>
      <w:pPr>
        <w:pStyle w:val="16"/>
        <w:numPr>
          <w:ilvl w:val="1"/>
          <w:numId w:val="1"/>
        </w:numPr>
        <w:autoSpaceDE w:val="0"/>
        <w:autoSpaceDN w:val="0"/>
        <w:adjustRightInd w:val="0"/>
        <w:spacing w:line="360" w:lineRule="auto"/>
        <w:ind w:firstLineChars="0"/>
        <w:jc w:val="left"/>
        <w:rPr>
          <w:rFonts w:asciiTheme="minorEastAsia" w:hAnsiTheme="minorEastAsia" w:eastAsiaTheme="minorEastAsia"/>
          <w:szCs w:val="21"/>
        </w:rPr>
      </w:pPr>
      <w:r>
        <w:rPr>
          <w:rFonts w:hint="eastAsia" w:asciiTheme="minorEastAsia" w:hAnsiTheme="minorEastAsia" w:eastAsiaTheme="minorEastAsia"/>
          <w:szCs w:val="21"/>
        </w:rPr>
        <w:t>内置锂电池，插槽式设计，无需螺丝刀工具支持快速拆卸和安装，锂电池支持监护仪工作时间≥4小时；可选配2块高容量电池，工作时间≥8小时。</w:t>
      </w:r>
    </w:p>
    <w:p>
      <w:pPr>
        <w:pStyle w:val="16"/>
        <w:numPr>
          <w:ilvl w:val="1"/>
          <w:numId w:val="1"/>
        </w:numPr>
        <w:autoSpaceDE w:val="0"/>
        <w:autoSpaceDN w:val="0"/>
        <w:adjustRightInd w:val="0"/>
        <w:spacing w:line="360" w:lineRule="auto"/>
        <w:ind w:firstLineChars="0"/>
        <w:jc w:val="left"/>
        <w:rPr>
          <w:rFonts w:asciiTheme="minorEastAsia" w:hAnsiTheme="minorEastAsia" w:eastAsiaTheme="minorEastAsia"/>
          <w:szCs w:val="21"/>
        </w:rPr>
      </w:pPr>
      <w:r>
        <w:rPr>
          <w:rFonts w:hint="eastAsia" w:asciiTheme="minorEastAsia" w:hAnsiTheme="minorEastAsia" w:eastAsiaTheme="minorEastAsia"/>
          <w:szCs w:val="21"/>
        </w:rPr>
        <w:t>监护仪设计使用年限≥10年</w:t>
      </w:r>
      <w:r>
        <w:rPr>
          <w:rFonts w:hint="eastAsia" w:asciiTheme="minorEastAsia" w:hAnsiTheme="minorEastAsia" w:eastAsiaTheme="minorEastAsia"/>
          <w:szCs w:val="21"/>
          <w:lang w:val="en-US" w:eastAsia="zh-CN"/>
        </w:rPr>
        <w:t>,</w:t>
      </w:r>
      <w:r>
        <w:rPr>
          <w:rFonts w:hint="eastAsia" w:asciiTheme="minorEastAsia" w:hAnsiTheme="minorEastAsia" w:eastAsiaTheme="minorEastAsia"/>
          <w:szCs w:val="21"/>
        </w:rPr>
        <w:t>监护仪清洁消毒维护支持的消毒剂≥</w:t>
      </w:r>
      <w:r>
        <w:rPr>
          <w:rFonts w:asciiTheme="minorEastAsia" w:hAnsiTheme="minorEastAsia" w:eastAsiaTheme="minorEastAsia"/>
          <w:szCs w:val="21"/>
        </w:rPr>
        <w:t>40</w:t>
      </w:r>
      <w:r>
        <w:rPr>
          <w:rFonts w:hint="eastAsia" w:asciiTheme="minorEastAsia" w:hAnsiTheme="minorEastAsia" w:eastAsiaTheme="minorEastAsia"/>
          <w:szCs w:val="21"/>
        </w:rPr>
        <w:t>种</w:t>
      </w:r>
    </w:p>
    <w:p>
      <w:pPr>
        <w:pStyle w:val="16"/>
        <w:numPr>
          <w:ilvl w:val="1"/>
          <w:numId w:val="1"/>
        </w:numPr>
        <w:autoSpaceDE w:val="0"/>
        <w:autoSpaceDN w:val="0"/>
        <w:adjustRightInd w:val="0"/>
        <w:spacing w:line="360" w:lineRule="auto"/>
        <w:ind w:firstLineChars="0"/>
        <w:jc w:val="left"/>
        <w:rPr>
          <w:rFonts w:asciiTheme="minorEastAsia" w:hAnsiTheme="minorEastAsia" w:eastAsiaTheme="minorEastAsia"/>
          <w:szCs w:val="21"/>
        </w:rPr>
      </w:pPr>
      <w:r>
        <w:rPr>
          <w:rFonts w:hint="eastAsia" w:asciiTheme="minorEastAsia" w:hAnsiTheme="minorEastAsia" w:eastAsiaTheme="minorEastAsia"/>
          <w:szCs w:val="21"/>
        </w:rPr>
        <w:t>监护仪主机工作温度环境范围：0~40°C</w:t>
      </w:r>
      <w:r>
        <w:rPr>
          <w:rFonts w:hint="eastAsia" w:asciiTheme="minorEastAsia" w:hAnsiTheme="minorEastAsia" w:eastAsiaTheme="minorEastAsia"/>
          <w:szCs w:val="21"/>
          <w:lang w:val="en-US" w:eastAsia="zh-CN"/>
        </w:rPr>
        <w:t>,</w:t>
      </w:r>
      <w:r>
        <w:rPr>
          <w:rFonts w:hint="eastAsia" w:asciiTheme="minorEastAsia" w:hAnsiTheme="minorEastAsia" w:eastAsiaTheme="minorEastAsia"/>
          <w:szCs w:val="21"/>
        </w:rPr>
        <w:t>监护仪主机工作湿度环境范围；15~95%。</w:t>
      </w:r>
    </w:p>
    <w:p>
      <w:pPr>
        <w:pStyle w:val="16"/>
        <w:numPr>
          <w:ilvl w:val="0"/>
          <w:numId w:val="1"/>
        </w:numPr>
        <w:autoSpaceDE w:val="0"/>
        <w:autoSpaceDN w:val="0"/>
        <w:adjustRightInd w:val="0"/>
        <w:spacing w:line="360" w:lineRule="auto"/>
        <w:ind w:firstLineChars="0"/>
        <w:jc w:val="left"/>
        <w:rPr>
          <w:rFonts w:cs="宋体" w:asciiTheme="minorEastAsia" w:hAnsiTheme="minorEastAsia" w:eastAsiaTheme="minorEastAsia"/>
          <w:b/>
          <w:kern w:val="0"/>
          <w:szCs w:val="21"/>
        </w:rPr>
      </w:pPr>
      <w:r>
        <w:rPr>
          <w:rFonts w:hint="eastAsia" w:cs="宋体" w:asciiTheme="minorEastAsia" w:hAnsiTheme="minorEastAsia" w:eastAsiaTheme="minorEastAsia"/>
          <w:b/>
          <w:kern w:val="0"/>
          <w:szCs w:val="21"/>
        </w:rPr>
        <w:t>监测参数：</w:t>
      </w:r>
    </w:p>
    <w:p>
      <w:pPr>
        <w:pStyle w:val="16"/>
        <w:numPr>
          <w:ilvl w:val="1"/>
          <w:numId w:val="1"/>
        </w:numPr>
        <w:autoSpaceDE w:val="0"/>
        <w:autoSpaceDN w:val="0"/>
        <w:adjustRightInd w:val="0"/>
        <w:spacing w:line="360" w:lineRule="auto"/>
        <w:ind w:firstLineChars="0"/>
        <w:jc w:val="left"/>
        <w:rPr>
          <w:rFonts w:asciiTheme="minorEastAsia" w:hAnsiTheme="minorEastAsia" w:eastAsiaTheme="minorEastAsia"/>
          <w:szCs w:val="21"/>
        </w:rPr>
      </w:pPr>
      <w:r>
        <w:rPr>
          <w:rFonts w:hint="eastAsia" w:asciiTheme="minorEastAsia" w:hAnsiTheme="minorEastAsia" w:eastAsiaTheme="minorEastAsia"/>
          <w:szCs w:val="21"/>
        </w:rPr>
        <w:t>配置3/5导心电，呼吸，无创血压，血氧饱和度，脉搏和双通道体温参数监测，以上参数适用于成人、小儿、新生儿患者。</w:t>
      </w:r>
    </w:p>
    <w:p>
      <w:pPr>
        <w:pStyle w:val="16"/>
        <w:numPr>
          <w:ilvl w:val="1"/>
          <w:numId w:val="1"/>
        </w:numPr>
        <w:autoSpaceDE w:val="0"/>
        <w:autoSpaceDN w:val="0"/>
        <w:adjustRightInd w:val="0"/>
        <w:spacing w:line="360" w:lineRule="auto"/>
        <w:ind w:firstLineChars="0"/>
        <w:jc w:val="left"/>
        <w:rPr>
          <w:rFonts w:asciiTheme="minorEastAsia" w:hAnsiTheme="minorEastAsia" w:eastAsiaTheme="minorEastAsia"/>
          <w:szCs w:val="21"/>
        </w:rPr>
      </w:pPr>
      <w:r>
        <w:rPr>
          <w:rFonts w:hint="eastAsia" w:asciiTheme="minorEastAsia" w:hAnsiTheme="minorEastAsia" w:eastAsiaTheme="minorEastAsia"/>
          <w:szCs w:val="21"/>
        </w:rPr>
        <w:t>心电监护支持心率，</w:t>
      </w:r>
      <w:r>
        <w:rPr>
          <w:rFonts w:asciiTheme="minorEastAsia" w:hAnsiTheme="minorEastAsia" w:eastAsiaTheme="minorEastAsia"/>
          <w:szCs w:val="21"/>
        </w:rPr>
        <w:t>ST</w:t>
      </w:r>
      <w:r>
        <w:rPr>
          <w:rFonts w:hint="eastAsia" w:asciiTheme="minorEastAsia" w:hAnsiTheme="minorEastAsia" w:eastAsiaTheme="minorEastAsia"/>
          <w:szCs w:val="21"/>
        </w:rPr>
        <w:t>段测量，心律失常分析，</w:t>
      </w:r>
      <w:r>
        <w:rPr>
          <w:rFonts w:asciiTheme="minorEastAsia" w:hAnsiTheme="minorEastAsia" w:eastAsiaTheme="minorEastAsia"/>
          <w:szCs w:val="21"/>
        </w:rPr>
        <w:t>QT/QTc</w:t>
      </w:r>
      <w:r>
        <w:rPr>
          <w:rFonts w:hint="eastAsia" w:asciiTheme="minorEastAsia" w:hAnsiTheme="minorEastAsia" w:eastAsiaTheme="minorEastAsia"/>
          <w:szCs w:val="21"/>
        </w:rPr>
        <w:t>连续实时测量和对应报警功能，支持成人、小儿、新生儿患者。</w:t>
      </w:r>
    </w:p>
    <w:p>
      <w:pPr>
        <w:pStyle w:val="16"/>
        <w:numPr>
          <w:ilvl w:val="1"/>
          <w:numId w:val="1"/>
        </w:numPr>
        <w:autoSpaceDE w:val="0"/>
        <w:autoSpaceDN w:val="0"/>
        <w:adjustRightInd w:val="0"/>
        <w:spacing w:line="360" w:lineRule="auto"/>
        <w:ind w:firstLineChars="0"/>
        <w:jc w:val="left"/>
        <w:rPr>
          <w:rFonts w:asciiTheme="minorEastAsia" w:hAnsiTheme="minorEastAsia" w:eastAsiaTheme="minorEastAsia"/>
          <w:szCs w:val="21"/>
        </w:rPr>
      </w:pPr>
      <w:r>
        <w:rPr>
          <w:rFonts w:hint="eastAsia" w:asciiTheme="minorEastAsia" w:hAnsiTheme="minorEastAsia" w:eastAsiaTheme="minorEastAsia"/>
          <w:szCs w:val="21"/>
        </w:rPr>
        <w:t>心电波形扫描速度支持6.25mm/s、12.5 mm/s、25 mm/s和50 mm/s</w:t>
      </w:r>
    </w:p>
    <w:p>
      <w:pPr>
        <w:pStyle w:val="16"/>
        <w:numPr>
          <w:ilvl w:val="1"/>
          <w:numId w:val="1"/>
        </w:numPr>
        <w:autoSpaceDE w:val="0"/>
        <w:autoSpaceDN w:val="0"/>
        <w:adjustRightInd w:val="0"/>
        <w:spacing w:line="360" w:lineRule="auto"/>
        <w:ind w:firstLineChars="0"/>
        <w:jc w:val="left"/>
        <w:rPr>
          <w:rFonts w:asciiTheme="minorEastAsia" w:hAnsiTheme="minorEastAsia" w:eastAsiaTheme="minorEastAsia"/>
          <w:szCs w:val="21"/>
        </w:rPr>
      </w:pPr>
      <w:r>
        <w:rPr>
          <w:rFonts w:hint="eastAsia" w:asciiTheme="minorEastAsia" w:hAnsiTheme="minorEastAsia" w:eastAsiaTheme="minorEastAsia"/>
          <w:szCs w:val="21"/>
        </w:rPr>
        <w:t>提供窗口支持心脏下壁，侧壁和前壁对应多个</w:t>
      </w:r>
      <w:r>
        <w:rPr>
          <w:rFonts w:asciiTheme="minorEastAsia" w:hAnsiTheme="minorEastAsia" w:eastAsiaTheme="minorEastAsia"/>
          <w:szCs w:val="21"/>
        </w:rPr>
        <w:t>ST</w:t>
      </w:r>
      <w:r>
        <w:rPr>
          <w:rFonts w:hint="eastAsia" w:asciiTheme="minorEastAsia" w:hAnsiTheme="minorEastAsia" w:eastAsiaTheme="minorEastAsia"/>
          <w:szCs w:val="21"/>
        </w:rPr>
        <w:t>片段的同屏实时显示，提供参考片段和实时片段的对比查看。</w:t>
      </w:r>
    </w:p>
    <w:p>
      <w:pPr>
        <w:pStyle w:val="16"/>
        <w:numPr>
          <w:ilvl w:val="1"/>
          <w:numId w:val="1"/>
        </w:numPr>
        <w:autoSpaceDE w:val="0"/>
        <w:autoSpaceDN w:val="0"/>
        <w:adjustRightInd w:val="0"/>
        <w:spacing w:line="360" w:lineRule="auto"/>
        <w:ind w:firstLineChars="0"/>
        <w:jc w:val="left"/>
        <w:rPr>
          <w:rFonts w:asciiTheme="minorEastAsia" w:hAnsiTheme="minorEastAsia" w:eastAsiaTheme="minorEastAsia"/>
          <w:szCs w:val="21"/>
        </w:rPr>
      </w:pPr>
      <w:r>
        <w:rPr>
          <w:rFonts w:hint="eastAsia" w:asciiTheme="minorEastAsia" w:hAnsiTheme="minorEastAsia" w:eastAsiaTheme="minorEastAsia"/>
          <w:szCs w:val="21"/>
        </w:rPr>
        <w:t xml:space="preserve">支持房颤及室上性心律失常分析功能，如：室上性心动过速，SVCs/min等，标配支持≥27种实时心律失常分析 </w:t>
      </w:r>
    </w:p>
    <w:p>
      <w:pPr>
        <w:pStyle w:val="16"/>
        <w:numPr>
          <w:ilvl w:val="1"/>
          <w:numId w:val="1"/>
        </w:numPr>
        <w:autoSpaceDE w:val="0"/>
        <w:autoSpaceDN w:val="0"/>
        <w:adjustRightInd w:val="0"/>
        <w:spacing w:line="360" w:lineRule="auto"/>
        <w:ind w:firstLineChars="0"/>
        <w:jc w:val="left"/>
        <w:rPr>
          <w:rFonts w:asciiTheme="minorEastAsia" w:hAnsiTheme="minorEastAsia" w:eastAsiaTheme="minorEastAsia"/>
          <w:szCs w:val="21"/>
        </w:rPr>
      </w:pPr>
      <w:r>
        <w:rPr>
          <w:rFonts w:asciiTheme="minorEastAsia" w:hAnsiTheme="minorEastAsia" w:eastAsiaTheme="minorEastAsia"/>
          <w:szCs w:val="21"/>
        </w:rPr>
        <w:t>QT</w:t>
      </w:r>
      <w:r>
        <w:rPr>
          <w:rFonts w:hint="eastAsia" w:asciiTheme="minorEastAsia" w:hAnsiTheme="minorEastAsia" w:eastAsiaTheme="minorEastAsia"/>
          <w:szCs w:val="21"/>
        </w:rPr>
        <w:t>和</w:t>
      </w:r>
      <w:r>
        <w:rPr>
          <w:rFonts w:asciiTheme="minorEastAsia" w:hAnsiTheme="minorEastAsia" w:eastAsiaTheme="minorEastAsia"/>
          <w:szCs w:val="21"/>
        </w:rPr>
        <w:t>QTc</w:t>
      </w:r>
      <w:r>
        <w:rPr>
          <w:rFonts w:hint="eastAsia" w:asciiTheme="minorEastAsia" w:hAnsiTheme="minorEastAsia" w:eastAsiaTheme="minorEastAsia"/>
          <w:szCs w:val="21"/>
        </w:rPr>
        <w:t>实时监测参数测量范围：</w:t>
      </w:r>
      <w:r>
        <w:rPr>
          <w:rFonts w:asciiTheme="minorEastAsia" w:hAnsiTheme="minorEastAsia" w:eastAsiaTheme="minorEastAsia"/>
          <w:szCs w:val="21"/>
        </w:rPr>
        <w:t>200</w:t>
      </w:r>
      <w:r>
        <w:rPr>
          <w:rFonts w:hint="eastAsia" w:asciiTheme="minorEastAsia" w:hAnsiTheme="minorEastAsia" w:eastAsiaTheme="minorEastAsia"/>
          <w:szCs w:val="21"/>
        </w:rPr>
        <w:t>～</w:t>
      </w:r>
      <w:r>
        <w:rPr>
          <w:rFonts w:asciiTheme="minorEastAsia" w:hAnsiTheme="minorEastAsia" w:eastAsiaTheme="minorEastAsia"/>
          <w:szCs w:val="21"/>
        </w:rPr>
        <w:t>800 ms</w:t>
      </w:r>
      <w:r>
        <w:rPr>
          <w:rFonts w:hint="eastAsia" w:asciiTheme="minorEastAsia" w:hAnsiTheme="minorEastAsia" w:eastAsiaTheme="minorEastAsia"/>
          <w:szCs w:val="21"/>
        </w:rPr>
        <w:t>。</w:t>
      </w:r>
    </w:p>
    <w:p>
      <w:pPr>
        <w:pStyle w:val="16"/>
        <w:numPr>
          <w:ilvl w:val="1"/>
          <w:numId w:val="1"/>
        </w:numPr>
        <w:autoSpaceDE w:val="0"/>
        <w:autoSpaceDN w:val="0"/>
        <w:adjustRightInd w:val="0"/>
        <w:spacing w:line="360" w:lineRule="auto"/>
        <w:ind w:firstLineChars="0"/>
        <w:jc w:val="left"/>
        <w:rPr>
          <w:rFonts w:asciiTheme="minorEastAsia" w:hAnsiTheme="minorEastAsia" w:eastAsiaTheme="minorEastAsia"/>
          <w:szCs w:val="21"/>
        </w:rPr>
      </w:pPr>
      <w:r>
        <w:rPr>
          <w:rFonts w:hint="eastAsia" w:asciiTheme="minorEastAsia" w:hAnsiTheme="minorEastAsia" w:eastAsiaTheme="minorEastAsia"/>
          <w:szCs w:val="21"/>
        </w:rPr>
        <w:t>支持≥3通道心电波形同步分析，可进行多导心电分析</w:t>
      </w:r>
    </w:p>
    <w:p>
      <w:pPr>
        <w:pStyle w:val="16"/>
        <w:numPr>
          <w:ilvl w:val="1"/>
          <w:numId w:val="1"/>
        </w:numPr>
        <w:autoSpaceDE w:val="0"/>
        <w:autoSpaceDN w:val="0"/>
        <w:adjustRightInd w:val="0"/>
        <w:spacing w:line="360" w:lineRule="auto"/>
        <w:ind w:firstLineChars="0"/>
        <w:jc w:val="left"/>
        <w:rPr>
          <w:rFonts w:asciiTheme="minorEastAsia" w:hAnsiTheme="minorEastAsia" w:eastAsiaTheme="minorEastAsia"/>
          <w:szCs w:val="21"/>
        </w:rPr>
      </w:pPr>
      <w:r>
        <w:rPr>
          <w:rFonts w:hint="eastAsia" w:asciiTheme="minorEastAsia" w:hAnsiTheme="minorEastAsia" w:eastAsiaTheme="minorEastAsia"/>
          <w:szCs w:val="21"/>
        </w:rPr>
        <w:t>支持升级</w:t>
      </w:r>
      <w:r>
        <w:rPr>
          <w:rFonts w:asciiTheme="minorEastAsia" w:hAnsiTheme="minorEastAsia" w:eastAsiaTheme="minorEastAsia"/>
          <w:szCs w:val="21"/>
        </w:rPr>
        <w:t>12</w:t>
      </w:r>
      <w:r>
        <w:rPr>
          <w:rFonts w:hint="eastAsia" w:asciiTheme="minorEastAsia" w:hAnsiTheme="minorEastAsia" w:eastAsiaTheme="minorEastAsia"/>
          <w:szCs w:val="21"/>
        </w:rPr>
        <w:t>导心电监护和</w:t>
      </w:r>
      <w:r>
        <w:rPr>
          <w:rFonts w:asciiTheme="minorEastAsia" w:hAnsiTheme="minorEastAsia" w:eastAsiaTheme="minorEastAsia"/>
          <w:szCs w:val="21"/>
        </w:rPr>
        <w:t>12</w:t>
      </w:r>
      <w:r>
        <w:rPr>
          <w:rFonts w:hint="eastAsia" w:asciiTheme="minorEastAsia" w:hAnsiTheme="minorEastAsia" w:eastAsiaTheme="minorEastAsia"/>
          <w:szCs w:val="21"/>
        </w:rPr>
        <w:t>导静息分析。</w:t>
      </w:r>
    </w:p>
    <w:p>
      <w:pPr>
        <w:pStyle w:val="16"/>
        <w:numPr>
          <w:ilvl w:val="1"/>
          <w:numId w:val="1"/>
        </w:numPr>
        <w:autoSpaceDE w:val="0"/>
        <w:autoSpaceDN w:val="0"/>
        <w:adjustRightInd w:val="0"/>
        <w:spacing w:line="360" w:lineRule="auto"/>
        <w:ind w:firstLineChars="0"/>
        <w:jc w:val="left"/>
        <w:rPr>
          <w:rFonts w:asciiTheme="minorEastAsia" w:hAnsiTheme="minorEastAsia" w:eastAsiaTheme="minorEastAsia"/>
          <w:szCs w:val="21"/>
        </w:rPr>
      </w:pPr>
      <w:r>
        <w:rPr>
          <w:rFonts w:hint="eastAsia" w:asciiTheme="minorEastAsia" w:hAnsiTheme="minorEastAsia" w:eastAsiaTheme="minorEastAsia"/>
          <w:szCs w:val="21"/>
        </w:rPr>
        <w:t>支持升级提供过去</w:t>
      </w:r>
      <w:r>
        <w:rPr>
          <w:rFonts w:asciiTheme="minorEastAsia" w:hAnsiTheme="minorEastAsia" w:eastAsiaTheme="minorEastAsia"/>
          <w:szCs w:val="21"/>
        </w:rPr>
        <w:t>24</w:t>
      </w:r>
      <w:r>
        <w:rPr>
          <w:rFonts w:hint="eastAsia" w:asciiTheme="minorEastAsia" w:hAnsiTheme="minorEastAsia" w:eastAsiaTheme="minorEastAsia"/>
          <w:szCs w:val="21"/>
        </w:rPr>
        <w:t>小时心电概览报告查看与打印，包括心率统计结果，心律失常统计结果，</w:t>
      </w:r>
      <w:r>
        <w:rPr>
          <w:rFonts w:asciiTheme="minorEastAsia" w:hAnsiTheme="minorEastAsia" w:eastAsiaTheme="minorEastAsia"/>
          <w:szCs w:val="21"/>
        </w:rPr>
        <w:t>ST</w:t>
      </w:r>
      <w:r>
        <w:rPr>
          <w:rFonts w:hint="eastAsia" w:asciiTheme="minorEastAsia" w:hAnsiTheme="minorEastAsia" w:eastAsiaTheme="minorEastAsia"/>
          <w:szCs w:val="21"/>
        </w:rPr>
        <w:t>统计和</w:t>
      </w:r>
      <w:r>
        <w:rPr>
          <w:rFonts w:asciiTheme="minorEastAsia" w:hAnsiTheme="minorEastAsia" w:eastAsiaTheme="minorEastAsia"/>
          <w:szCs w:val="21"/>
        </w:rPr>
        <w:t>QT/QTc</w:t>
      </w:r>
      <w:r>
        <w:rPr>
          <w:rFonts w:hint="eastAsia" w:asciiTheme="minorEastAsia" w:hAnsiTheme="minorEastAsia" w:eastAsiaTheme="minorEastAsia"/>
          <w:szCs w:val="21"/>
        </w:rPr>
        <w:t>统计结果。</w:t>
      </w:r>
    </w:p>
    <w:p>
      <w:pPr>
        <w:pStyle w:val="16"/>
        <w:numPr>
          <w:ilvl w:val="1"/>
          <w:numId w:val="1"/>
        </w:numPr>
        <w:autoSpaceDE w:val="0"/>
        <w:autoSpaceDN w:val="0"/>
        <w:adjustRightInd w:val="0"/>
        <w:spacing w:line="360" w:lineRule="auto"/>
        <w:ind w:firstLineChars="0"/>
        <w:jc w:val="left"/>
        <w:rPr>
          <w:rFonts w:asciiTheme="minorEastAsia" w:hAnsiTheme="minorEastAsia" w:eastAsiaTheme="minorEastAsia"/>
          <w:szCs w:val="21"/>
        </w:rPr>
      </w:pPr>
      <w:r>
        <w:rPr>
          <w:rFonts w:hint="eastAsia" w:asciiTheme="minorEastAsia" w:hAnsiTheme="minorEastAsia" w:eastAsiaTheme="minorEastAsia"/>
          <w:szCs w:val="21"/>
        </w:rPr>
        <w:t>提供</w:t>
      </w:r>
      <w:r>
        <w:rPr>
          <w:rFonts w:asciiTheme="minorEastAsia" w:hAnsiTheme="minorEastAsia" w:eastAsiaTheme="minorEastAsia"/>
          <w:szCs w:val="21"/>
        </w:rPr>
        <w:t>SpO2,PR</w:t>
      </w:r>
      <w:r>
        <w:rPr>
          <w:rFonts w:hint="eastAsia" w:asciiTheme="minorEastAsia" w:hAnsiTheme="minorEastAsia" w:eastAsiaTheme="minorEastAsia"/>
          <w:szCs w:val="21"/>
        </w:rPr>
        <w:t>和</w:t>
      </w:r>
      <w:r>
        <w:rPr>
          <w:rFonts w:asciiTheme="minorEastAsia" w:hAnsiTheme="minorEastAsia" w:eastAsiaTheme="minorEastAsia"/>
          <w:szCs w:val="21"/>
        </w:rPr>
        <w:t>PI</w:t>
      </w:r>
      <w:r>
        <w:rPr>
          <w:rFonts w:hint="eastAsia" w:asciiTheme="minorEastAsia" w:hAnsiTheme="minorEastAsia" w:eastAsiaTheme="minorEastAsia"/>
          <w:szCs w:val="21"/>
        </w:rPr>
        <w:t>参数的实时监测，适用于成人，小儿和新生儿。来自</w:t>
      </w:r>
      <w:r>
        <w:rPr>
          <w:rFonts w:asciiTheme="minorEastAsia" w:hAnsiTheme="minorEastAsia" w:eastAsiaTheme="minorEastAsia"/>
          <w:szCs w:val="21"/>
        </w:rPr>
        <w:t>SpO2</w:t>
      </w:r>
      <w:r>
        <w:rPr>
          <w:rFonts w:hint="eastAsia" w:asciiTheme="minorEastAsia" w:hAnsiTheme="minorEastAsia" w:eastAsiaTheme="minorEastAsia"/>
          <w:szCs w:val="21"/>
        </w:rPr>
        <w:t>的</w:t>
      </w:r>
      <w:r>
        <w:rPr>
          <w:rFonts w:asciiTheme="minorEastAsia" w:hAnsiTheme="minorEastAsia" w:eastAsiaTheme="minorEastAsia"/>
          <w:szCs w:val="21"/>
        </w:rPr>
        <w:t>PR</w:t>
      </w:r>
      <w:r>
        <w:rPr>
          <w:rFonts w:hint="eastAsia" w:asciiTheme="minorEastAsia" w:hAnsiTheme="minorEastAsia" w:eastAsiaTheme="minorEastAsia"/>
          <w:szCs w:val="21"/>
        </w:rPr>
        <w:t>测量范围：</w:t>
      </w:r>
      <w:r>
        <w:rPr>
          <w:rFonts w:asciiTheme="minorEastAsia" w:hAnsiTheme="minorEastAsia" w:eastAsiaTheme="minorEastAsia"/>
          <w:szCs w:val="21"/>
        </w:rPr>
        <w:t>20-300</w:t>
      </w:r>
    </w:p>
    <w:p>
      <w:pPr>
        <w:pStyle w:val="16"/>
        <w:numPr>
          <w:ilvl w:val="1"/>
          <w:numId w:val="1"/>
        </w:numPr>
        <w:autoSpaceDE w:val="0"/>
        <w:autoSpaceDN w:val="0"/>
        <w:adjustRightInd w:val="0"/>
        <w:spacing w:line="360" w:lineRule="auto"/>
        <w:ind w:firstLineChars="0"/>
        <w:jc w:val="left"/>
        <w:rPr>
          <w:rFonts w:asciiTheme="minorEastAsia" w:hAnsiTheme="minorEastAsia" w:eastAsiaTheme="minorEastAsia"/>
          <w:szCs w:val="21"/>
        </w:rPr>
      </w:pPr>
      <w:r>
        <w:rPr>
          <w:rFonts w:hint="eastAsia" w:asciiTheme="minorEastAsia" w:hAnsiTheme="minorEastAsia" w:eastAsiaTheme="minorEastAsia"/>
          <w:szCs w:val="21"/>
        </w:rPr>
        <w:t>提供手动，自动，连续、序列和整点</w:t>
      </w:r>
      <w:r>
        <w:rPr>
          <w:rFonts w:asciiTheme="minorEastAsia" w:hAnsiTheme="minorEastAsia" w:eastAsiaTheme="minorEastAsia"/>
          <w:szCs w:val="21"/>
        </w:rPr>
        <w:t>5</w:t>
      </w:r>
      <w:r>
        <w:rPr>
          <w:rFonts w:hint="eastAsia" w:asciiTheme="minorEastAsia" w:hAnsiTheme="minorEastAsia" w:eastAsiaTheme="minorEastAsia"/>
          <w:szCs w:val="21"/>
        </w:rPr>
        <w:t>种测量模式，提供</w:t>
      </w:r>
      <w:r>
        <w:rPr>
          <w:rFonts w:asciiTheme="minorEastAsia" w:hAnsiTheme="minorEastAsia" w:eastAsiaTheme="minorEastAsia"/>
          <w:szCs w:val="21"/>
        </w:rPr>
        <w:t>24</w:t>
      </w:r>
      <w:r>
        <w:rPr>
          <w:rFonts w:hint="eastAsia" w:asciiTheme="minorEastAsia" w:hAnsiTheme="minorEastAsia" w:eastAsiaTheme="minorEastAsia"/>
          <w:szCs w:val="21"/>
        </w:rPr>
        <w:t>小时血压统计结果</w:t>
      </w:r>
    </w:p>
    <w:p>
      <w:pPr>
        <w:pStyle w:val="16"/>
        <w:numPr>
          <w:ilvl w:val="1"/>
          <w:numId w:val="1"/>
        </w:numPr>
        <w:autoSpaceDE w:val="0"/>
        <w:autoSpaceDN w:val="0"/>
        <w:adjustRightInd w:val="0"/>
        <w:spacing w:line="360" w:lineRule="auto"/>
        <w:ind w:firstLineChars="0"/>
        <w:jc w:val="left"/>
        <w:rPr>
          <w:rFonts w:asciiTheme="minorEastAsia" w:hAnsiTheme="minorEastAsia" w:eastAsiaTheme="minorEastAsia"/>
          <w:szCs w:val="21"/>
        </w:rPr>
      </w:pPr>
      <w:r>
        <w:rPr>
          <w:rFonts w:hint="eastAsia" w:asciiTheme="minorEastAsia" w:hAnsiTheme="minorEastAsia" w:eastAsiaTheme="minorEastAsia"/>
          <w:szCs w:val="21"/>
        </w:rPr>
        <w:t>提供呼吸测量，适用于成人、小儿和新生儿。呼吸测量范围：0-200 rpm。</w:t>
      </w:r>
    </w:p>
    <w:p>
      <w:pPr>
        <w:pStyle w:val="16"/>
        <w:numPr>
          <w:ilvl w:val="1"/>
          <w:numId w:val="1"/>
        </w:numPr>
        <w:autoSpaceDE w:val="0"/>
        <w:autoSpaceDN w:val="0"/>
        <w:adjustRightInd w:val="0"/>
        <w:spacing w:line="360" w:lineRule="auto"/>
        <w:ind w:firstLineChars="0"/>
        <w:jc w:val="left"/>
        <w:rPr>
          <w:rFonts w:asciiTheme="minorEastAsia" w:hAnsiTheme="minorEastAsia" w:eastAsiaTheme="minorEastAsia"/>
          <w:szCs w:val="21"/>
        </w:rPr>
      </w:pPr>
      <w:r>
        <w:rPr>
          <w:rFonts w:hint="eastAsia" w:asciiTheme="minorEastAsia" w:hAnsiTheme="minorEastAsia" w:eastAsiaTheme="minorEastAsia"/>
          <w:szCs w:val="21"/>
        </w:rPr>
        <w:t>配置无创血压测量，适用于成人，小儿和新生儿。无创血压成人测量范围：收缩压</w:t>
      </w:r>
      <w:r>
        <w:rPr>
          <w:rFonts w:asciiTheme="minorEastAsia" w:hAnsiTheme="minorEastAsia" w:eastAsiaTheme="minorEastAsia"/>
          <w:szCs w:val="21"/>
        </w:rPr>
        <w:t>25~290mmH</w:t>
      </w:r>
      <w:r>
        <w:rPr>
          <w:rFonts w:hint="eastAsia" w:asciiTheme="minorEastAsia" w:hAnsiTheme="minorEastAsia" w:eastAsiaTheme="minorEastAsia"/>
          <w:szCs w:val="21"/>
        </w:rPr>
        <w:t>。</w:t>
      </w:r>
    </w:p>
    <w:p>
      <w:pPr>
        <w:pStyle w:val="16"/>
        <w:numPr>
          <w:ilvl w:val="1"/>
          <w:numId w:val="1"/>
        </w:numPr>
        <w:autoSpaceDE w:val="0"/>
        <w:autoSpaceDN w:val="0"/>
        <w:adjustRightInd w:val="0"/>
        <w:spacing w:line="360" w:lineRule="auto"/>
        <w:ind w:firstLineChars="0"/>
        <w:jc w:val="left"/>
        <w:rPr>
          <w:rFonts w:asciiTheme="minorEastAsia" w:hAnsiTheme="minorEastAsia" w:eastAsiaTheme="minorEastAsia"/>
          <w:szCs w:val="21"/>
        </w:rPr>
      </w:pPr>
      <w:r>
        <w:rPr>
          <w:rFonts w:hint="eastAsia" w:asciiTheme="minorEastAsia" w:hAnsiTheme="minorEastAsia" w:eastAsiaTheme="minorEastAsia"/>
          <w:szCs w:val="21"/>
        </w:rPr>
        <w:t>提供双通道体温和温差参数的监测</w:t>
      </w:r>
      <w:r>
        <w:rPr>
          <w:rFonts w:asciiTheme="minorEastAsia" w:hAnsiTheme="minorEastAsia" w:eastAsiaTheme="minorEastAsia"/>
          <w:szCs w:val="21"/>
        </w:rPr>
        <w:t xml:space="preserve">, </w:t>
      </w:r>
      <w:r>
        <w:rPr>
          <w:rFonts w:hint="eastAsia" w:asciiTheme="minorEastAsia" w:hAnsiTheme="minorEastAsia" w:eastAsiaTheme="minorEastAsia"/>
          <w:szCs w:val="21"/>
        </w:rPr>
        <w:t>并可根据需要更改体温通道标名。</w:t>
      </w:r>
    </w:p>
    <w:p>
      <w:pPr>
        <w:pStyle w:val="16"/>
        <w:numPr>
          <w:ilvl w:val="0"/>
          <w:numId w:val="1"/>
        </w:numPr>
        <w:autoSpaceDE w:val="0"/>
        <w:autoSpaceDN w:val="0"/>
        <w:adjustRightInd w:val="0"/>
        <w:spacing w:line="360" w:lineRule="auto"/>
        <w:ind w:firstLineChars="0"/>
        <w:jc w:val="left"/>
        <w:rPr>
          <w:rFonts w:cs="宋体" w:asciiTheme="minorEastAsia" w:hAnsiTheme="minorEastAsia" w:eastAsiaTheme="minorEastAsia"/>
          <w:b/>
          <w:kern w:val="0"/>
          <w:szCs w:val="21"/>
        </w:rPr>
      </w:pPr>
      <w:r>
        <w:rPr>
          <w:rFonts w:hint="eastAsia" w:cs="宋体" w:asciiTheme="minorEastAsia" w:hAnsiTheme="minorEastAsia" w:eastAsiaTheme="minorEastAsia"/>
          <w:b/>
          <w:kern w:val="0"/>
          <w:szCs w:val="21"/>
        </w:rPr>
        <w:t>系统功能：</w:t>
      </w:r>
    </w:p>
    <w:p>
      <w:pPr>
        <w:pStyle w:val="16"/>
        <w:numPr>
          <w:ilvl w:val="1"/>
          <w:numId w:val="1"/>
        </w:numPr>
        <w:autoSpaceDE w:val="0"/>
        <w:autoSpaceDN w:val="0"/>
        <w:adjustRightInd w:val="0"/>
        <w:spacing w:line="360" w:lineRule="auto"/>
        <w:ind w:firstLineChars="0"/>
        <w:jc w:val="left"/>
        <w:rPr>
          <w:rFonts w:asciiTheme="minorEastAsia" w:hAnsiTheme="minorEastAsia" w:eastAsiaTheme="minorEastAsia"/>
          <w:szCs w:val="21"/>
        </w:rPr>
      </w:pPr>
      <w:r>
        <w:rPr>
          <w:rFonts w:hint="eastAsia" w:asciiTheme="minorEastAsia" w:hAnsiTheme="minorEastAsia" w:eastAsiaTheme="minorEastAsia"/>
          <w:szCs w:val="21"/>
        </w:rPr>
        <w:t>支持所有监测参数报警限一键自动设置功能，满足医护团队快速管理患者报警需求，产品用户手册提供报警限自动设置规则。</w:t>
      </w:r>
    </w:p>
    <w:p>
      <w:pPr>
        <w:pStyle w:val="16"/>
        <w:numPr>
          <w:ilvl w:val="1"/>
          <w:numId w:val="1"/>
        </w:numPr>
        <w:autoSpaceDE w:val="0"/>
        <w:autoSpaceDN w:val="0"/>
        <w:adjustRightInd w:val="0"/>
        <w:spacing w:line="360" w:lineRule="auto"/>
        <w:ind w:firstLineChars="0"/>
        <w:jc w:val="left"/>
        <w:rPr>
          <w:rFonts w:asciiTheme="minorEastAsia" w:hAnsiTheme="minorEastAsia" w:eastAsiaTheme="minorEastAsia"/>
          <w:szCs w:val="21"/>
        </w:rPr>
      </w:pPr>
      <w:r>
        <w:rPr>
          <w:rFonts w:hint="eastAsia" w:asciiTheme="minorEastAsia" w:hAnsiTheme="minorEastAsia" w:eastAsiaTheme="minorEastAsia"/>
          <w:szCs w:val="21"/>
        </w:rPr>
        <w:t>具有图形化技术报警指示功能，帮助医护团队快速识别报警来源。</w:t>
      </w:r>
    </w:p>
    <w:p>
      <w:pPr>
        <w:pStyle w:val="16"/>
        <w:numPr>
          <w:ilvl w:val="1"/>
          <w:numId w:val="1"/>
        </w:numPr>
        <w:autoSpaceDE w:val="0"/>
        <w:autoSpaceDN w:val="0"/>
        <w:adjustRightInd w:val="0"/>
        <w:spacing w:line="360" w:lineRule="auto"/>
        <w:ind w:firstLineChars="0"/>
        <w:jc w:val="left"/>
        <w:rPr>
          <w:rFonts w:asciiTheme="minorEastAsia" w:hAnsiTheme="minorEastAsia" w:eastAsiaTheme="minorEastAsia"/>
          <w:szCs w:val="21"/>
        </w:rPr>
      </w:pPr>
      <w:r>
        <w:rPr>
          <w:rFonts w:hint="eastAsia" w:asciiTheme="minorEastAsia" w:hAnsiTheme="minorEastAsia" w:eastAsiaTheme="minorEastAsia"/>
          <w:szCs w:val="21"/>
        </w:rPr>
        <w:t>支持≥1000条事件回顾。每条报警事件至少能够存储30秒相关波形，以及报警触发时所有测量参数值。</w:t>
      </w:r>
    </w:p>
    <w:p>
      <w:pPr>
        <w:pStyle w:val="16"/>
        <w:numPr>
          <w:ilvl w:val="1"/>
          <w:numId w:val="1"/>
        </w:numPr>
        <w:autoSpaceDE w:val="0"/>
        <w:autoSpaceDN w:val="0"/>
        <w:adjustRightInd w:val="0"/>
        <w:spacing w:line="360" w:lineRule="auto"/>
        <w:ind w:firstLineChars="0"/>
        <w:jc w:val="left"/>
        <w:rPr>
          <w:rFonts w:asciiTheme="minorEastAsia" w:hAnsiTheme="minorEastAsia" w:eastAsiaTheme="minorEastAsia"/>
          <w:szCs w:val="21"/>
        </w:rPr>
      </w:pPr>
      <w:r>
        <w:rPr>
          <w:rFonts w:hint="eastAsia" w:asciiTheme="minorEastAsia" w:hAnsiTheme="minorEastAsia" w:eastAsiaTheme="minorEastAsia"/>
          <w:szCs w:val="21"/>
        </w:rPr>
        <w:t>支持≥1000组NIBP测量结果，可选配升级为高容量存储卡，支持3000组NIBP测量</w:t>
      </w:r>
      <w:r>
        <w:rPr>
          <w:rFonts w:hint="eastAsia" w:asciiTheme="minorEastAsia" w:hAnsiTheme="minorEastAsia" w:eastAsiaTheme="minorEastAsia"/>
          <w:szCs w:val="21"/>
          <w:lang w:val="en-US" w:eastAsia="zh-CN"/>
        </w:rPr>
        <w:t>,</w:t>
      </w:r>
      <w:r>
        <w:rPr>
          <w:rFonts w:hint="eastAsia" w:asciiTheme="minorEastAsia" w:hAnsiTheme="minorEastAsia" w:eastAsiaTheme="minorEastAsia"/>
          <w:szCs w:val="21"/>
        </w:rPr>
        <w:t>支持≥120小时（分辨率1分钟）ST模板存储与回顾</w:t>
      </w:r>
    </w:p>
    <w:p>
      <w:pPr>
        <w:pStyle w:val="16"/>
        <w:numPr>
          <w:ilvl w:val="1"/>
          <w:numId w:val="1"/>
        </w:numPr>
        <w:autoSpaceDE w:val="0"/>
        <w:autoSpaceDN w:val="0"/>
        <w:adjustRightInd w:val="0"/>
        <w:spacing w:line="360" w:lineRule="auto"/>
        <w:ind w:firstLineChars="0"/>
        <w:jc w:val="left"/>
        <w:rPr>
          <w:rFonts w:asciiTheme="minorEastAsia" w:hAnsiTheme="minorEastAsia" w:eastAsiaTheme="minorEastAsia"/>
          <w:szCs w:val="21"/>
        </w:rPr>
      </w:pPr>
      <w:r>
        <w:rPr>
          <w:rFonts w:hint="eastAsia" w:asciiTheme="minorEastAsia" w:hAnsiTheme="minorEastAsia" w:eastAsiaTheme="minorEastAsia"/>
          <w:szCs w:val="21"/>
          <w:lang w:val="en-US" w:eastAsia="zh-CN"/>
        </w:rPr>
        <w:t>▲</w:t>
      </w:r>
      <w:r>
        <w:rPr>
          <w:rFonts w:hint="eastAsia" w:asciiTheme="minorEastAsia" w:hAnsiTheme="minorEastAsia" w:eastAsiaTheme="minorEastAsia"/>
          <w:szCs w:val="21"/>
        </w:rPr>
        <w:t>具有报警升级功能，当参数报警经过一定的时间未被处理或伴发了其他报警，就会升级到更高一个级别。</w:t>
      </w:r>
    </w:p>
    <w:p>
      <w:pPr>
        <w:pStyle w:val="16"/>
        <w:numPr>
          <w:ilvl w:val="1"/>
          <w:numId w:val="1"/>
        </w:numPr>
        <w:autoSpaceDE w:val="0"/>
        <w:autoSpaceDN w:val="0"/>
        <w:adjustRightInd w:val="0"/>
        <w:spacing w:line="360" w:lineRule="auto"/>
        <w:ind w:firstLineChars="0"/>
        <w:jc w:val="left"/>
        <w:rPr>
          <w:rFonts w:asciiTheme="minorEastAsia" w:hAnsiTheme="minorEastAsia" w:eastAsiaTheme="minorEastAsia"/>
          <w:szCs w:val="21"/>
        </w:rPr>
      </w:pPr>
      <w:r>
        <w:rPr>
          <w:rFonts w:hint="eastAsia" w:asciiTheme="minorEastAsia" w:hAnsiTheme="minorEastAsia" w:eastAsiaTheme="minorEastAsia"/>
          <w:szCs w:val="21"/>
        </w:rPr>
        <w:t>具有特殊报警音，当监护仪在病人发生致命性参数报警时，发出特殊的报警音进行提示病人处于危急状态。</w:t>
      </w:r>
    </w:p>
    <w:p>
      <w:pPr>
        <w:pStyle w:val="16"/>
        <w:numPr>
          <w:ilvl w:val="1"/>
          <w:numId w:val="1"/>
        </w:numPr>
        <w:autoSpaceDE w:val="0"/>
        <w:autoSpaceDN w:val="0"/>
        <w:adjustRightInd w:val="0"/>
        <w:spacing w:line="360" w:lineRule="auto"/>
        <w:ind w:firstLineChars="0"/>
        <w:jc w:val="left"/>
        <w:rPr>
          <w:rFonts w:asciiTheme="minorEastAsia" w:hAnsiTheme="minorEastAsia" w:eastAsiaTheme="minorEastAsia"/>
          <w:szCs w:val="21"/>
        </w:rPr>
      </w:pPr>
      <w:r>
        <w:rPr>
          <w:rFonts w:hint="eastAsia" w:asciiTheme="minorEastAsia" w:hAnsiTheme="minorEastAsia" w:eastAsiaTheme="minorEastAsia"/>
          <w:szCs w:val="21"/>
          <w:lang w:val="en-US" w:eastAsia="zh-CN"/>
        </w:rPr>
        <w:t>▲</w:t>
      </w:r>
      <w:r>
        <w:rPr>
          <w:rFonts w:hint="eastAsia" w:asciiTheme="minorEastAsia" w:hAnsiTheme="minorEastAsia" w:eastAsiaTheme="minorEastAsia"/>
          <w:szCs w:val="21"/>
        </w:rPr>
        <w:t>支持根据病人的参数趋势变化，可自动推送HR/PR、 SpO2、 RR 等参数的报警限建议。</w:t>
      </w:r>
    </w:p>
    <w:p>
      <w:pPr>
        <w:pStyle w:val="16"/>
        <w:numPr>
          <w:ilvl w:val="1"/>
          <w:numId w:val="1"/>
        </w:numPr>
        <w:autoSpaceDE w:val="0"/>
        <w:autoSpaceDN w:val="0"/>
        <w:adjustRightInd w:val="0"/>
        <w:spacing w:line="360" w:lineRule="auto"/>
        <w:ind w:firstLineChars="0"/>
        <w:jc w:val="left"/>
        <w:rPr>
          <w:rFonts w:asciiTheme="minorEastAsia" w:hAnsiTheme="minorEastAsia" w:eastAsiaTheme="minorEastAsia"/>
          <w:szCs w:val="21"/>
        </w:rPr>
      </w:pPr>
      <w:r>
        <w:rPr>
          <w:rFonts w:hint="eastAsia" w:asciiTheme="minorEastAsia" w:hAnsiTheme="minorEastAsia" w:eastAsiaTheme="minorEastAsia"/>
          <w:szCs w:val="21"/>
          <w:lang w:val="en-US" w:eastAsia="zh-CN"/>
        </w:rPr>
        <w:t>▲</w:t>
      </w:r>
      <w:r>
        <w:rPr>
          <w:rFonts w:hint="eastAsia" w:asciiTheme="minorEastAsia" w:hAnsiTheme="minorEastAsia" w:eastAsiaTheme="minorEastAsia"/>
          <w:szCs w:val="21"/>
        </w:rPr>
        <w:t>具备参数组合报警功能，可对患者同时多个参数变化给出统一报警提示，更好地反映病人状态，提供≥10个预设组合报警，并允许自定义≥10个组合报警。</w:t>
      </w:r>
    </w:p>
    <w:p>
      <w:pPr>
        <w:pStyle w:val="16"/>
        <w:numPr>
          <w:ilvl w:val="1"/>
          <w:numId w:val="1"/>
        </w:numPr>
        <w:autoSpaceDE w:val="0"/>
        <w:autoSpaceDN w:val="0"/>
        <w:adjustRightInd w:val="0"/>
        <w:spacing w:line="360" w:lineRule="auto"/>
        <w:ind w:firstLineChars="0"/>
        <w:jc w:val="left"/>
        <w:rPr>
          <w:rFonts w:asciiTheme="minorEastAsia" w:hAnsiTheme="minorEastAsia" w:eastAsiaTheme="minorEastAsia"/>
          <w:szCs w:val="21"/>
        </w:rPr>
      </w:pPr>
      <w:r>
        <w:rPr>
          <w:rFonts w:hint="eastAsia" w:asciiTheme="minorEastAsia" w:hAnsiTheme="minorEastAsia" w:eastAsiaTheme="minorEastAsia"/>
          <w:szCs w:val="21"/>
        </w:rPr>
        <w:t>支持RJ45接口进行有线网络通信，和除颤监护仪一起联网通信到中心监护系统。</w:t>
      </w:r>
    </w:p>
    <w:p>
      <w:pPr>
        <w:pStyle w:val="16"/>
        <w:numPr>
          <w:ilvl w:val="1"/>
          <w:numId w:val="1"/>
        </w:numPr>
        <w:autoSpaceDE w:val="0"/>
        <w:autoSpaceDN w:val="0"/>
        <w:adjustRightInd w:val="0"/>
        <w:spacing w:line="360" w:lineRule="auto"/>
        <w:ind w:firstLineChars="0"/>
        <w:jc w:val="left"/>
        <w:rPr>
          <w:rFonts w:asciiTheme="minorEastAsia" w:hAnsiTheme="minorEastAsia" w:eastAsiaTheme="minorEastAsia"/>
          <w:szCs w:val="21"/>
        </w:rPr>
      </w:pPr>
      <w:r>
        <w:rPr>
          <w:rFonts w:hint="eastAsia" w:asciiTheme="minorEastAsia" w:hAnsiTheme="minorEastAsia" w:eastAsiaTheme="minorEastAsia"/>
          <w:szCs w:val="21"/>
        </w:rPr>
        <w:t xml:space="preserve">支持监护仪进入夜间模式，演示模式和待机模式，可选隐私模式。 </w:t>
      </w:r>
    </w:p>
    <w:p>
      <w:pPr>
        <w:pStyle w:val="16"/>
        <w:numPr>
          <w:ilvl w:val="1"/>
          <w:numId w:val="1"/>
        </w:numPr>
        <w:autoSpaceDE w:val="0"/>
        <w:autoSpaceDN w:val="0"/>
        <w:adjustRightInd w:val="0"/>
        <w:spacing w:line="360" w:lineRule="auto"/>
        <w:ind w:firstLineChars="0"/>
        <w:jc w:val="left"/>
        <w:rPr>
          <w:rFonts w:asciiTheme="minorEastAsia" w:hAnsiTheme="minorEastAsia" w:eastAsiaTheme="minorEastAsia"/>
          <w:szCs w:val="21"/>
        </w:rPr>
      </w:pPr>
      <w:r>
        <w:rPr>
          <w:rFonts w:hint="eastAsia" w:asciiTheme="minorEastAsia" w:hAnsiTheme="minorEastAsia" w:eastAsiaTheme="minorEastAsia"/>
          <w:szCs w:val="21"/>
        </w:rPr>
        <w:t xml:space="preserve">提供计时器功能，界面区提供设置≥4个计时器，每个计时器支持独立设置和计时功能，计时方向包括正计时和倒计时两种选择。 </w:t>
      </w:r>
    </w:p>
    <w:p>
      <w:pPr>
        <w:pStyle w:val="16"/>
        <w:numPr>
          <w:ilvl w:val="1"/>
          <w:numId w:val="1"/>
        </w:numPr>
        <w:autoSpaceDE w:val="0"/>
        <w:autoSpaceDN w:val="0"/>
        <w:adjustRightInd w:val="0"/>
        <w:spacing w:line="360" w:lineRule="auto"/>
        <w:ind w:firstLineChars="0"/>
        <w:jc w:val="left"/>
        <w:rPr>
          <w:rFonts w:asciiTheme="minorEastAsia" w:hAnsiTheme="minorEastAsia" w:eastAsiaTheme="minorEastAsia"/>
          <w:szCs w:val="21"/>
        </w:rPr>
      </w:pPr>
      <w:r>
        <w:rPr>
          <w:rFonts w:hint="eastAsia" w:asciiTheme="minorEastAsia" w:hAnsiTheme="minorEastAsia" w:eastAsiaTheme="minorEastAsia"/>
          <w:szCs w:val="21"/>
        </w:rPr>
        <w:t>可升级临床评分系统，包括MEWS（改良早期预警评分）、NEWS（英国早期预警评分系统）、NEWS2（英国早期预警评分系统2），可支持定时自动EWS评分功能，支持动态刷新EWS和EWS报警。</w:t>
      </w:r>
    </w:p>
    <w:p>
      <w:pPr>
        <w:pStyle w:val="16"/>
        <w:numPr>
          <w:ilvl w:val="1"/>
          <w:numId w:val="1"/>
        </w:numPr>
        <w:autoSpaceDE w:val="0"/>
        <w:autoSpaceDN w:val="0"/>
        <w:adjustRightInd w:val="0"/>
        <w:spacing w:line="360" w:lineRule="auto"/>
        <w:ind w:firstLineChars="0"/>
        <w:jc w:val="left"/>
        <w:rPr>
          <w:rFonts w:asciiTheme="minorEastAsia" w:hAnsiTheme="minorEastAsia" w:eastAsiaTheme="minorEastAsia"/>
          <w:szCs w:val="21"/>
        </w:rPr>
      </w:pPr>
      <w:r>
        <w:rPr>
          <w:rFonts w:hint="eastAsia" w:asciiTheme="minorEastAsia" w:hAnsiTheme="minorEastAsia" w:eastAsiaTheme="minorEastAsia"/>
          <w:szCs w:val="21"/>
        </w:rPr>
        <w:t>支持格拉斯哥昏迷评分（GCS）功能</w:t>
      </w:r>
    </w:p>
    <w:p>
      <w:pPr>
        <w:pStyle w:val="16"/>
        <w:numPr>
          <w:ilvl w:val="1"/>
          <w:numId w:val="1"/>
        </w:numPr>
        <w:autoSpaceDE w:val="0"/>
        <w:autoSpaceDN w:val="0"/>
        <w:adjustRightInd w:val="0"/>
        <w:spacing w:line="360" w:lineRule="auto"/>
        <w:ind w:firstLineChars="0"/>
        <w:jc w:val="left"/>
        <w:rPr>
          <w:rFonts w:asciiTheme="minorEastAsia" w:hAnsiTheme="minorEastAsia" w:eastAsiaTheme="minorEastAsia"/>
          <w:szCs w:val="21"/>
        </w:rPr>
      </w:pPr>
      <w:r>
        <w:rPr>
          <w:rFonts w:hint="eastAsia" w:asciiTheme="minorEastAsia" w:hAnsiTheme="minorEastAsia" w:eastAsiaTheme="minorEastAsia"/>
          <w:szCs w:val="21"/>
        </w:rPr>
        <w:t>动态趋势界面可支持统计1-24小时心律失常报警、参数超限报警信息，并对超限报警区间的波形进行高亮显示，帮助医护人员快速识别异常趋势信息。</w:t>
      </w:r>
    </w:p>
    <w:p>
      <w:pPr>
        <w:pStyle w:val="16"/>
        <w:numPr>
          <w:ilvl w:val="1"/>
          <w:numId w:val="1"/>
        </w:numPr>
        <w:autoSpaceDE w:val="0"/>
        <w:autoSpaceDN w:val="0"/>
        <w:adjustRightInd w:val="0"/>
        <w:spacing w:line="360" w:lineRule="auto"/>
        <w:ind w:firstLineChars="0"/>
        <w:jc w:val="left"/>
        <w:rPr>
          <w:rFonts w:asciiTheme="minorEastAsia" w:hAnsiTheme="minorEastAsia" w:eastAsiaTheme="minorEastAsia"/>
          <w:szCs w:val="21"/>
        </w:rPr>
      </w:pPr>
      <w:r>
        <w:rPr>
          <w:rFonts w:hint="eastAsia" w:asciiTheme="minorEastAsia" w:hAnsiTheme="minorEastAsia" w:eastAsiaTheme="minorEastAsia"/>
          <w:szCs w:val="21"/>
        </w:rPr>
        <w:t>提供目标监测界面，能够显示ECG,SpO2,IBP,CO2等多种参数测量值和波形；目标监测界面至少包括目标参数区、参数列表区、目标参数统计区、目标参数趋势区等，目标参数统计区与目标参数趋势区相互联动</w:t>
      </w:r>
    </w:p>
    <w:p>
      <w:pPr>
        <w:pStyle w:val="16"/>
        <w:numPr>
          <w:ilvl w:val="1"/>
          <w:numId w:val="1"/>
        </w:numPr>
        <w:autoSpaceDE w:val="0"/>
        <w:autoSpaceDN w:val="0"/>
        <w:adjustRightInd w:val="0"/>
        <w:spacing w:line="360" w:lineRule="auto"/>
        <w:ind w:firstLineChars="0"/>
        <w:jc w:val="left"/>
        <w:rPr>
          <w:rFonts w:asciiTheme="minorEastAsia" w:hAnsiTheme="minorEastAsia" w:eastAsiaTheme="minorEastAsia"/>
          <w:szCs w:val="21"/>
        </w:rPr>
      </w:pPr>
      <w:r>
        <w:rPr>
          <w:rFonts w:hint="eastAsia" w:asciiTheme="minorEastAsia" w:hAnsiTheme="minorEastAsia" w:eastAsiaTheme="minorEastAsia"/>
          <w:szCs w:val="21"/>
        </w:rPr>
        <w:t>支持带ABD事件的呼吸氧合界面。</w:t>
      </w:r>
    </w:p>
    <w:p>
      <w:pPr>
        <w:pStyle w:val="16"/>
        <w:numPr>
          <w:ilvl w:val="1"/>
          <w:numId w:val="1"/>
        </w:numPr>
        <w:autoSpaceDE w:val="0"/>
        <w:autoSpaceDN w:val="0"/>
        <w:adjustRightInd w:val="0"/>
        <w:spacing w:line="360" w:lineRule="auto"/>
        <w:ind w:firstLineChars="0"/>
        <w:jc w:val="left"/>
        <w:rPr>
          <w:rFonts w:asciiTheme="minorEastAsia" w:hAnsiTheme="minorEastAsia" w:eastAsiaTheme="minorEastAsia"/>
          <w:szCs w:val="21"/>
        </w:rPr>
      </w:pPr>
      <w:r>
        <w:rPr>
          <w:rFonts w:hint="eastAsia" w:asciiTheme="minorEastAsia" w:hAnsiTheme="minorEastAsia" w:eastAsiaTheme="minorEastAsia"/>
          <w:szCs w:val="21"/>
        </w:rPr>
        <w:t>支持选配房颤概览功能，可显示当前病人持续 30 秒以上的房颤事件的统计信息和生命体征参数趋势。</w:t>
      </w:r>
    </w:p>
    <w:p>
      <w:pPr>
        <w:pStyle w:val="16"/>
        <w:numPr>
          <w:ilvl w:val="1"/>
          <w:numId w:val="1"/>
        </w:numPr>
        <w:autoSpaceDE w:val="0"/>
        <w:autoSpaceDN w:val="0"/>
        <w:adjustRightInd w:val="0"/>
        <w:spacing w:line="360" w:lineRule="auto"/>
        <w:ind w:firstLineChars="0"/>
        <w:jc w:val="left"/>
        <w:rPr>
          <w:rFonts w:asciiTheme="minorEastAsia" w:hAnsiTheme="minorEastAsia" w:eastAsiaTheme="minorEastAsia"/>
          <w:szCs w:val="21"/>
        </w:rPr>
      </w:pPr>
      <w:r>
        <w:rPr>
          <w:rFonts w:hint="eastAsia" w:asciiTheme="minorEastAsia" w:hAnsiTheme="minorEastAsia" w:eastAsiaTheme="minorEastAsia"/>
          <w:szCs w:val="21"/>
          <w:lang w:val="en-US" w:eastAsia="zh-CN"/>
        </w:rPr>
        <w:t>所投产品</w:t>
      </w:r>
      <w:r>
        <w:rPr>
          <w:rFonts w:hint="eastAsia" w:asciiTheme="minorEastAsia" w:hAnsiTheme="minorEastAsia" w:eastAsiaTheme="minorEastAsia"/>
          <w:szCs w:val="21"/>
        </w:rPr>
        <w:t>须提供生产厂家授权及厂家售后服务承</w:t>
      </w:r>
      <w:r>
        <w:rPr>
          <w:rFonts w:hint="eastAsia" w:asciiTheme="minorEastAsia" w:hAnsiTheme="minorEastAsia" w:eastAsiaTheme="minorEastAsia"/>
          <w:szCs w:val="21"/>
          <w:lang w:val="en-US" w:eastAsia="zh-CN"/>
        </w:rPr>
        <w:t>诺。</w:t>
      </w:r>
    </w:p>
    <w:p>
      <w:pPr>
        <w:pStyle w:val="16"/>
        <w:numPr>
          <w:ilvl w:val="1"/>
          <w:numId w:val="1"/>
        </w:numPr>
        <w:autoSpaceDE w:val="0"/>
        <w:autoSpaceDN w:val="0"/>
        <w:adjustRightInd w:val="0"/>
        <w:spacing w:line="360" w:lineRule="auto"/>
        <w:ind w:firstLineChars="0"/>
        <w:jc w:val="left"/>
        <w:rPr>
          <w:rFonts w:asciiTheme="minorEastAsia" w:hAnsiTheme="minorEastAsia" w:eastAsiaTheme="minorEastAsia"/>
          <w:sz w:val="21"/>
          <w:szCs w:val="21"/>
        </w:rPr>
      </w:pPr>
      <w:r>
        <w:rPr>
          <w:rFonts w:hint="eastAsia" w:asciiTheme="minorEastAsia" w:hAnsiTheme="minorEastAsia" w:eastAsiaTheme="minorEastAsia"/>
          <w:szCs w:val="21"/>
          <w:lang w:val="en-US" w:eastAsia="zh-CN"/>
        </w:rPr>
        <w:t>▲</w:t>
      </w:r>
      <w:r>
        <w:rPr>
          <w:rFonts w:hint="eastAsia" w:asciiTheme="minorEastAsia" w:hAnsiTheme="minorEastAsia"/>
          <w:sz w:val="21"/>
          <w:szCs w:val="21"/>
        </w:rPr>
        <w:t>支持与除颤监护仪，遥测，生命体征监测仪、呼吸机混合联通至中心监护系统，实现护士站的集中管理，同时具备连接医院信息系统实现临床数据信息化管理需求</w:t>
      </w:r>
    </w:p>
    <w:p>
      <w:pPr>
        <w:pStyle w:val="16"/>
        <w:numPr>
          <w:ilvl w:val="0"/>
          <w:numId w:val="2"/>
        </w:numPr>
        <w:autoSpaceDE w:val="0"/>
        <w:autoSpaceDN w:val="0"/>
        <w:adjustRightInd w:val="0"/>
        <w:spacing w:line="360" w:lineRule="auto"/>
        <w:ind w:leftChars="0"/>
        <w:jc w:val="left"/>
        <w:rPr>
          <w:rFonts w:hint="eastAsia" w:asciiTheme="minorEastAsia" w:hAnsiTheme="minorEastAsia"/>
          <w:sz w:val="21"/>
          <w:szCs w:val="21"/>
          <w:lang w:val="en-US" w:eastAsia="zh-CN"/>
        </w:rPr>
      </w:pPr>
      <w:r>
        <w:rPr>
          <w:rFonts w:hint="eastAsia" w:asciiTheme="minorEastAsia" w:hAnsiTheme="minorEastAsia"/>
          <w:sz w:val="21"/>
          <w:szCs w:val="21"/>
          <w:lang w:val="en-US" w:eastAsia="zh-CN"/>
        </w:rPr>
        <w:t>配置清单</w:t>
      </w:r>
    </w:p>
    <w:p>
      <w:pPr>
        <w:pStyle w:val="16"/>
        <w:numPr>
          <w:numId w:val="0"/>
        </w:numPr>
        <w:autoSpaceDE w:val="0"/>
        <w:autoSpaceDN w:val="0"/>
        <w:adjustRightInd w:val="0"/>
        <w:spacing w:line="360" w:lineRule="auto"/>
        <w:ind w:leftChars="200"/>
        <w:jc w:val="left"/>
        <w:rPr>
          <w:rFonts w:hint="eastAsia" w:asciiTheme="minorEastAsia" w:hAnsiTheme="minorEastAsia"/>
          <w:sz w:val="21"/>
          <w:szCs w:val="21"/>
          <w:lang w:val="en-US" w:eastAsia="zh-CN"/>
        </w:rPr>
      </w:pPr>
      <w:r>
        <w:rPr>
          <w:rFonts w:hint="eastAsia" w:asciiTheme="minorEastAsia" w:hAnsiTheme="minorEastAsia"/>
          <w:sz w:val="21"/>
          <w:szCs w:val="21"/>
          <w:lang w:val="en-US" w:eastAsia="zh-CN"/>
        </w:rPr>
        <w:t>4.1 心电监护仪       24台</w:t>
      </w:r>
    </w:p>
    <w:p>
      <w:pPr>
        <w:pStyle w:val="16"/>
        <w:numPr>
          <w:numId w:val="0"/>
        </w:numPr>
        <w:autoSpaceDE w:val="0"/>
        <w:autoSpaceDN w:val="0"/>
        <w:adjustRightInd w:val="0"/>
        <w:spacing w:line="360" w:lineRule="auto"/>
        <w:ind w:leftChars="200"/>
        <w:jc w:val="left"/>
        <w:rPr>
          <w:rFonts w:hint="default" w:asciiTheme="minorEastAsia" w:hAnsiTheme="minorEastAsia"/>
          <w:sz w:val="21"/>
          <w:szCs w:val="21"/>
          <w:lang w:val="en-US" w:eastAsia="zh-CN"/>
        </w:rPr>
      </w:pPr>
      <w:r>
        <w:rPr>
          <w:rFonts w:hint="eastAsia" w:asciiTheme="minorEastAsia" w:hAnsiTheme="minorEastAsia"/>
          <w:sz w:val="21"/>
          <w:szCs w:val="21"/>
          <w:lang w:val="en-US" w:eastAsia="zh-CN"/>
        </w:rPr>
        <w:t>★4.2 中央监护系统    1套</w:t>
      </w:r>
    </w:p>
    <w:p>
      <w:pPr>
        <w:rPr>
          <w:rFonts w:hint="eastAsia" w:asciiTheme="minorEastAsia" w:hAnsiTheme="minorEastAsia" w:eastAsiaTheme="minorEastAsia" w:cstheme="minorEastAsia"/>
          <w:b/>
          <w:bCs/>
          <w:sz w:val="36"/>
          <w:szCs w:val="44"/>
          <w:lang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sz w:val="36"/>
          <w:szCs w:val="44"/>
          <w:lang w:eastAsia="zh-CN"/>
        </w:rPr>
        <w:t>二、商务参数</w:t>
      </w:r>
    </w:p>
    <w:p>
      <w:pPr>
        <w:spacing w:line="360" w:lineRule="auto"/>
        <w:jc w:val="left"/>
        <w:rPr>
          <w:rFonts w:hint="eastAsia"/>
          <w:color w:val="auto"/>
          <w:lang w:eastAsia="zh-CN"/>
        </w:rPr>
      </w:pPr>
      <w:bookmarkStart w:id="0" w:name="_GoBack"/>
      <w:r>
        <w:rPr>
          <w:rFonts w:hint="eastAsia" w:asciiTheme="minorEastAsia" w:hAnsiTheme="minorEastAsia"/>
          <w:sz w:val="21"/>
          <w:szCs w:val="21"/>
          <w:lang w:val="en-US" w:eastAsia="zh-CN"/>
        </w:rPr>
        <w:t>★</w:t>
      </w:r>
      <w:r>
        <w:rPr>
          <w:rFonts w:hint="eastAsia"/>
          <w:color w:val="auto"/>
          <w:lang w:eastAsia="zh-CN"/>
        </w:rPr>
        <w:t>1、运输、装卸、培训、安装调试：由中标人负责承担，最终通过使用科室、设备科及相关部门确认验收交付使用。</w:t>
      </w:r>
    </w:p>
    <w:p>
      <w:pPr>
        <w:spacing w:line="360" w:lineRule="auto"/>
        <w:jc w:val="left"/>
        <w:rPr>
          <w:rFonts w:hint="eastAsia"/>
          <w:color w:val="auto"/>
          <w:lang w:eastAsia="zh-CN"/>
        </w:rPr>
      </w:pPr>
      <w:r>
        <w:rPr>
          <w:rFonts w:hint="eastAsia" w:asciiTheme="minorEastAsia" w:hAnsiTheme="minorEastAsia"/>
          <w:sz w:val="21"/>
          <w:szCs w:val="21"/>
          <w:lang w:val="en-US" w:eastAsia="zh-CN"/>
        </w:rPr>
        <w:t>★</w:t>
      </w:r>
      <w:r>
        <w:rPr>
          <w:rFonts w:hint="eastAsia"/>
          <w:color w:val="auto"/>
          <w:lang w:eastAsia="zh-CN"/>
        </w:rPr>
        <w:t>2、交货时间：按合同约定的日期交货。</w:t>
      </w:r>
    </w:p>
    <w:p>
      <w:pPr>
        <w:spacing w:line="360" w:lineRule="auto"/>
        <w:jc w:val="left"/>
        <w:rPr>
          <w:rFonts w:hint="eastAsia"/>
          <w:color w:val="auto"/>
          <w:lang w:eastAsia="zh-CN"/>
        </w:rPr>
      </w:pPr>
      <w:r>
        <w:rPr>
          <w:rFonts w:hint="eastAsia" w:asciiTheme="minorEastAsia" w:hAnsiTheme="minorEastAsia"/>
          <w:sz w:val="21"/>
          <w:szCs w:val="21"/>
          <w:lang w:val="en-US" w:eastAsia="zh-CN"/>
        </w:rPr>
        <w:t>★</w:t>
      </w:r>
      <w:r>
        <w:rPr>
          <w:rFonts w:hint="eastAsia"/>
          <w:color w:val="auto"/>
          <w:lang w:eastAsia="zh-CN"/>
        </w:rPr>
        <w:t>3、交货地点：娄底市中心医院指定地点。</w:t>
      </w:r>
    </w:p>
    <w:p>
      <w:pPr>
        <w:spacing w:line="360" w:lineRule="auto"/>
        <w:jc w:val="left"/>
        <w:rPr>
          <w:rFonts w:hint="eastAsia"/>
          <w:color w:val="auto"/>
          <w:lang w:eastAsia="zh-CN"/>
        </w:rPr>
      </w:pPr>
      <w:r>
        <w:rPr>
          <w:rFonts w:hint="eastAsia" w:asciiTheme="minorEastAsia" w:hAnsiTheme="minorEastAsia"/>
          <w:sz w:val="21"/>
          <w:szCs w:val="21"/>
          <w:lang w:val="en-US" w:eastAsia="zh-CN"/>
        </w:rPr>
        <w:t>★</w:t>
      </w:r>
      <w:r>
        <w:rPr>
          <w:rFonts w:hint="eastAsia"/>
          <w:color w:val="auto"/>
          <w:lang w:eastAsia="zh-CN"/>
        </w:rPr>
        <w:t>4、付款方式：设备验收合格后，供应商将发票交到娄底市中心医院后按程序支付货款90%（按医院财务制度一般情况下4个月内支付、特殊情况下最多不超过6个月），甲方在设备验收合格满</w:t>
      </w:r>
      <w:r>
        <w:rPr>
          <w:rFonts w:hint="eastAsia"/>
          <w:color w:val="auto"/>
          <w:lang w:val="en-US" w:eastAsia="zh-CN"/>
        </w:rPr>
        <w:t>3</w:t>
      </w:r>
      <w:r>
        <w:rPr>
          <w:rFonts w:hint="eastAsia"/>
          <w:color w:val="auto"/>
          <w:lang w:eastAsia="zh-CN"/>
        </w:rPr>
        <w:t>年后支付10%余款给乙方。</w:t>
      </w:r>
    </w:p>
    <w:p>
      <w:pPr>
        <w:spacing w:line="360" w:lineRule="auto"/>
        <w:jc w:val="left"/>
        <w:rPr>
          <w:rFonts w:hint="eastAsia"/>
          <w:color w:val="auto"/>
          <w:lang w:eastAsia="zh-CN"/>
        </w:rPr>
      </w:pPr>
      <w:r>
        <w:rPr>
          <w:rFonts w:hint="eastAsia" w:asciiTheme="minorEastAsia" w:hAnsiTheme="minorEastAsia"/>
          <w:sz w:val="21"/>
          <w:szCs w:val="21"/>
          <w:lang w:val="en-US" w:eastAsia="zh-CN"/>
        </w:rPr>
        <w:t>★</w:t>
      </w:r>
      <w:r>
        <w:rPr>
          <w:rFonts w:hint="eastAsia"/>
          <w:color w:val="auto"/>
          <w:lang w:eastAsia="zh-CN"/>
        </w:rPr>
        <w:t>5、质保与售后：整机保修</w:t>
      </w:r>
      <w:r>
        <w:rPr>
          <w:rFonts w:hint="eastAsia"/>
          <w:color w:val="auto"/>
          <w:lang w:val="en-US" w:eastAsia="zh-CN"/>
        </w:rPr>
        <w:t>3</w:t>
      </w:r>
      <w:r>
        <w:rPr>
          <w:rFonts w:hint="eastAsia"/>
          <w:color w:val="auto"/>
          <w:lang w:eastAsia="zh-CN"/>
        </w:rPr>
        <w:t>年，终身维修。验收时出具原厂售后质保承诺书，质保期内每年巡检一次，并提交巡检记录。质保期内出现故障，24小时响应，响应后4小时上门服务。</w:t>
      </w:r>
    </w:p>
    <w:p>
      <w:pPr>
        <w:spacing w:line="360" w:lineRule="auto"/>
        <w:jc w:val="left"/>
        <w:rPr>
          <w:rFonts w:hint="eastAsia"/>
          <w:color w:val="auto"/>
          <w:lang w:eastAsia="zh-CN"/>
        </w:rPr>
      </w:pPr>
      <w:r>
        <w:rPr>
          <w:rFonts w:hint="eastAsia" w:asciiTheme="minorEastAsia" w:hAnsiTheme="minorEastAsia"/>
          <w:sz w:val="21"/>
          <w:szCs w:val="21"/>
          <w:lang w:val="en-US" w:eastAsia="zh-CN"/>
        </w:rPr>
        <w:t>★</w:t>
      </w:r>
      <w:r>
        <w:rPr>
          <w:rFonts w:hint="eastAsia"/>
          <w:color w:val="auto"/>
          <w:lang w:eastAsia="zh-CN"/>
        </w:rPr>
        <w:t>6、在投标文件中必须提供相关佐证资料（加盖投标人公章的技术参数、技术白皮书、说明书、彩页），并在响应表中备注该条参数响应或正偏离的佐证资料所在页码。</w:t>
      </w:r>
    </w:p>
    <w:p>
      <w:pPr>
        <w:pStyle w:val="16"/>
        <w:numPr>
          <w:ilvl w:val="0"/>
          <w:numId w:val="0"/>
        </w:numPr>
        <w:autoSpaceDE w:val="0"/>
        <w:autoSpaceDN w:val="0"/>
        <w:adjustRightInd w:val="0"/>
        <w:spacing w:line="360" w:lineRule="auto"/>
        <w:ind w:leftChars="0"/>
        <w:jc w:val="left"/>
        <w:rPr>
          <w:rFonts w:hint="eastAsia" w:asciiTheme="minorEastAsia" w:hAnsiTheme="minorEastAsia"/>
          <w:sz w:val="21"/>
          <w:szCs w:val="21"/>
        </w:rPr>
      </w:pPr>
    </w:p>
    <w:bookmarkEnd w:id="0"/>
    <w:sectPr>
      <w:pgSz w:w="11906" w:h="16838"/>
      <w:pgMar w:top="1440" w:right="1274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yriad Pro">
    <w:altName w:val="Arial"/>
    <w:panose1 w:val="00000000000000000000"/>
    <w:charset w:val="00"/>
    <w:family w:val="swiss"/>
    <w:pitch w:val="default"/>
    <w:sig w:usb0="00000000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2F10FB7"/>
    <w:multiLevelType w:val="singleLevel"/>
    <w:tmpl w:val="F2F10FB7"/>
    <w:lvl w:ilvl="0" w:tentative="0">
      <w:start w:val="4"/>
      <w:numFmt w:val="decimal"/>
      <w:suff w:val="nothing"/>
      <w:lvlText w:val="%1、"/>
      <w:lvlJc w:val="left"/>
    </w:lvl>
  </w:abstractNum>
  <w:abstractNum w:abstractNumId="1">
    <w:nsid w:val="647350BE"/>
    <w:multiLevelType w:val="multilevel"/>
    <w:tmpl w:val="647350BE"/>
    <w:lvl w:ilvl="0" w:tentative="0">
      <w:start w:val="1"/>
      <w:numFmt w:val="decimal"/>
      <w:lvlText w:val="%1"/>
      <w:lvlJc w:val="left"/>
      <w:pPr>
        <w:ind w:left="425" w:hanging="425"/>
      </w:pPr>
    </w:lvl>
    <w:lvl w:ilvl="1" w:tentative="0">
      <w:start w:val="1"/>
      <w:numFmt w:val="decimal"/>
      <w:lvlText w:val="%1.%2"/>
      <w:lvlJc w:val="left"/>
      <w:pPr>
        <w:ind w:left="992" w:hanging="567"/>
      </w:pPr>
    </w:lvl>
    <w:lvl w:ilvl="2" w:tentative="0">
      <w:start w:val="1"/>
      <w:numFmt w:val="decimal"/>
      <w:lvlText w:val="%1.%2.%3"/>
      <w:lvlJc w:val="left"/>
      <w:pPr>
        <w:ind w:left="1418" w:hanging="567"/>
      </w:pPr>
    </w:lvl>
    <w:lvl w:ilvl="3" w:tentative="0">
      <w:start w:val="1"/>
      <w:numFmt w:val="decimal"/>
      <w:lvlText w:val="%1.%2.%3.%4"/>
      <w:lvlJc w:val="left"/>
      <w:pPr>
        <w:ind w:left="1984" w:hanging="708"/>
      </w:pPr>
    </w:lvl>
    <w:lvl w:ilvl="4" w:tentative="0">
      <w:start w:val="1"/>
      <w:numFmt w:val="decimal"/>
      <w:lvlText w:val="%1.%2.%3.%4.%5"/>
      <w:lvlJc w:val="left"/>
      <w:pPr>
        <w:ind w:left="2551" w:hanging="850"/>
      </w:pPr>
    </w:lvl>
    <w:lvl w:ilvl="5" w:tentative="0">
      <w:start w:val="1"/>
      <w:numFmt w:val="decimal"/>
      <w:lvlText w:val="%1.%2.%3.%4.%5.%6"/>
      <w:lvlJc w:val="left"/>
      <w:pPr>
        <w:ind w:left="3260" w:hanging="1134"/>
      </w:pPr>
    </w:lvl>
    <w:lvl w:ilvl="6" w:tentative="0">
      <w:start w:val="1"/>
      <w:numFmt w:val="decimal"/>
      <w:lvlText w:val="%1.%2.%3.%4.%5.%6.%7"/>
      <w:lvlJc w:val="left"/>
      <w:pPr>
        <w:ind w:left="3827" w:hanging="1276"/>
      </w:pPr>
    </w:lvl>
    <w:lvl w:ilvl="7" w:tentative="0">
      <w:start w:val="1"/>
      <w:numFmt w:val="decimal"/>
      <w:lvlText w:val="%1.%2.%3.%4.%5.%6.%7.%8"/>
      <w:lvlJc w:val="left"/>
      <w:pPr>
        <w:ind w:left="4394" w:hanging="1418"/>
      </w:pPr>
    </w:lvl>
    <w:lvl w:ilvl="8" w:tentative="0">
      <w:start w:val="1"/>
      <w:numFmt w:val="decimal"/>
      <w:lvlText w:val="%1.%2.%3.%4.%5.%6.%7.%8.%9"/>
      <w:lvlJc w:val="left"/>
      <w:pPr>
        <w:ind w:left="5102" w:hanging="170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mNhNTQ0ZGMxOGFmMTAzOWYzNDg2YTIyZGM3MTk5NzkifQ=="/>
  </w:docVars>
  <w:rsids>
    <w:rsidRoot w:val="00224A58"/>
    <w:rsid w:val="00006DA4"/>
    <w:rsid w:val="00015B57"/>
    <w:rsid w:val="00040BF5"/>
    <w:rsid w:val="0004340F"/>
    <w:rsid w:val="00045BA4"/>
    <w:rsid w:val="00051BEC"/>
    <w:rsid w:val="00053451"/>
    <w:rsid w:val="00057BBC"/>
    <w:rsid w:val="00057F69"/>
    <w:rsid w:val="0006355B"/>
    <w:rsid w:val="00063BD8"/>
    <w:rsid w:val="00063ED9"/>
    <w:rsid w:val="00074361"/>
    <w:rsid w:val="00074D25"/>
    <w:rsid w:val="0007650A"/>
    <w:rsid w:val="000877D6"/>
    <w:rsid w:val="00090C93"/>
    <w:rsid w:val="00097234"/>
    <w:rsid w:val="000A0A8E"/>
    <w:rsid w:val="000A5367"/>
    <w:rsid w:val="000C343A"/>
    <w:rsid w:val="000C6F5B"/>
    <w:rsid w:val="000D0EA6"/>
    <w:rsid w:val="000E0F6F"/>
    <w:rsid w:val="000E7B4C"/>
    <w:rsid w:val="000F32EA"/>
    <w:rsid w:val="000F4DE0"/>
    <w:rsid w:val="001008D2"/>
    <w:rsid w:val="0010650D"/>
    <w:rsid w:val="00114CCE"/>
    <w:rsid w:val="00136EE8"/>
    <w:rsid w:val="001414EB"/>
    <w:rsid w:val="00141D78"/>
    <w:rsid w:val="00152F2A"/>
    <w:rsid w:val="00157457"/>
    <w:rsid w:val="0016587E"/>
    <w:rsid w:val="001731C1"/>
    <w:rsid w:val="00177F29"/>
    <w:rsid w:val="001A031F"/>
    <w:rsid w:val="001A196B"/>
    <w:rsid w:val="001A2D75"/>
    <w:rsid w:val="001B1033"/>
    <w:rsid w:val="001D1630"/>
    <w:rsid w:val="001E2E2D"/>
    <w:rsid w:val="001E4C30"/>
    <w:rsid w:val="001F3B5E"/>
    <w:rsid w:val="001F5EA2"/>
    <w:rsid w:val="001F7E39"/>
    <w:rsid w:val="002032DD"/>
    <w:rsid w:val="00217145"/>
    <w:rsid w:val="002217E5"/>
    <w:rsid w:val="002222AA"/>
    <w:rsid w:val="00224A58"/>
    <w:rsid w:val="00231E4A"/>
    <w:rsid w:val="0023219B"/>
    <w:rsid w:val="00243A27"/>
    <w:rsid w:val="00255C66"/>
    <w:rsid w:val="00263786"/>
    <w:rsid w:val="0026778F"/>
    <w:rsid w:val="002716D9"/>
    <w:rsid w:val="00287FAB"/>
    <w:rsid w:val="002A2F42"/>
    <w:rsid w:val="002C4BDD"/>
    <w:rsid w:val="002C693E"/>
    <w:rsid w:val="002D39EA"/>
    <w:rsid w:val="002E66B7"/>
    <w:rsid w:val="002F1DFB"/>
    <w:rsid w:val="002F218D"/>
    <w:rsid w:val="002F3DDC"/>
    <w:rsid w:val="002F6233"/>
    <w:rsid w:val="002F7E2F"/>
    <w:rsid w:val="003000FC"/>
    <w:rsid w:val="00302E4A"/>
    <w:rsid w:val="00304E3A"/>
    <w:rsid w:val="00310642"/>
    <w:rsid w:val="003131B5"/>
    <w:rsid w:val="00314B18"/>
    <w:rsid w:val="0032529F"/>
    <w:rsid w:val="00340D44"/>
    <w:rsid w:val="0034104D"/>
    <w:rsid w:val="0034220B"/>
    <w:rsid w:val="003476A8"/>
    <w:rsid w:val="00361A07"/>
    <w:rsid w:val="003743E1"/>
    <w:rsid w:val="00374992"/>
    <w:rsid w:val="003935C2"/>
    <w:rsid w:val="00393A4E"/>
    <w:rsid w:val="003A3DE4"/>
    <w:rsid w:val="003A61D3"/>
    <w:rsid w:val="003C38CF"/>
    <w:rsid w:val="003D23DF"/>
    <w:rsid w:val="003E0CC7"/>
    <w:rsid w:val="003E4155"/>
    <w:rsid w:val="003E4A6C"/>
    <w:rsid w:val="003F1D9D"/>
    <w:rsid w:val="003F2E36"/>
    <w:rsid w:val="0040260B"/>
    <w:rsid w:val="004143A2"/>
    <w:rsid w:val="0041631B"/>
    <w:rsid w:val="00427D79"/>
    <w:rsid w:val="004313D6"/>
    <w:rsid w:val="0043414A"/>
    <w:rsid w:val="00461A03"/>
    <w:rsid w:val="00475E89"/>
    <w:rsid w:val="00483145"/>
    <w:rsid w:val="004866A8"/>
    <w:rsid w:val="00490219"/>
    <w:rsid w:val="004909E3"/>
    <w:rsid w:val="00492C7F"/>
    <w:rsid w:val="004A10EB"/>
    <w:rsid w:val="004A2833"/>
    <w:rsid w:val="004B5A4C"/>
    <w:rsid w:val="004C77B3"/>
    <w:rsid w:val="004F69B5"/>
    <w:rsid w:val="004F7701"/>
    <w:rsid w:val="00501CA4"/>
    <w:rsid w:val="0050221F"/>
    <w:rsid w:val="00506A57"/>
    <w:rsid w:val="00512C65"/>
    <w:rsid w:val="00512E97"/>
    <w:rsid w:val="005246DD"/>
    <w:rsid w:val="00524913"/>
    <w:rsid w:val="005458DA"/>
    <w:rsid w:val="005461A8"/>
    <w:rsid w:val="00546AE3"/>
    <w:rsid w:val="00547658"/>
    <w:rsid w:val="005623B2"/>
    <w:rsid w:val="00567D5B"/>
    <w:rsid w:val="00572BD2"/>
    <w:rsid w:val="00585BF5"/>
    <w:rsid w:val="00597E7E"/>
    <w:rsid w:val="005A529E"/>
    <w:rsid w:val="005A5550"/>
    <w:rsid w:val="005B2AAB"/>
    <w:rsid w:val="005B366D"/>
    <w:rsid w:val="005B41A0"/>
    <w:rsid w:val="005B46EE"/>
    <w:rsid w:val="005D44D3"/>
    <w:rsid w:val="005E4834"/>
    <w:rsid w:val="005E7541"/>
    <w:rsid w:val="005F37B9"/>
    <w:rsid w:val="005F3CE0"/>
    <w:rsid w:val="005F6D87"/>
    <w:rsid w:val="00610AA6"/>
    <w:rsid w:val="00611516"/>
    <w:rsid w:val="006138EF"/>
    <w:rsid w:val="0061623A"/>
    <w:rsid w:val="00617578"/>
    <w:rsid w:val="006272F9"/>
    <w:rsid w:val="006370D6"/>
    <w:rsid w:val="0063728D"/>
    <w:rsid w:val="0064123D"/>
    <w:rsid w:val="006429AD"/>
    <w:rsid w:val="0064640C"/>
    <w:rsid w:val="006468D7"/>
    <w:rsid w:val="00652977"/>
    <w:rsid w:val="006731C9"/>
    <w:rsid w:val="006751BB"/>
    <w:rsid w:val="00675F48"/>
    <w:rsid w:val="0068488B"/>
    <w:rsid w:val="00685D7A"/>
    <w:rsid w:val="006933D5"/>
    <w:rsid w:val="00694FC8"/>
    <w:rsid w:val="00695A23"/>
    <w:rsid w:val="006973AF"/>
    <w:rsid w:val="006A290F"/>
    <w:rsid w:val="006B5AB2"/>
    <w:rsid w:val="006C79DE"/>
    <w:rsid w:val="006D2E20"/>
    <w:rsid w:val="006E32F1"/>
    <w:rsid w:val="006E66EC"/>
    <w:rsid w:val="006F48CB"/>
    <w:rsid w:val="006F5278"/>
    <w:rsid w:val="006F6B28"/>
    <w:rsid w:val="00722ABC"/>
    <w:rsid w:val="00722E58"/>
    <w:rsid w:val="00723343"/>
    <w:rsid w:val="00736975"/>
    <w:rsid w:val="00740565"/>
    <w:rsid w:val="007417D0"/>
    <w:rsid w:val="007504F3"/>
    <w:rsid w:val="00752F3C"/>
    <w:rsid w:val="0076070D"/>
    <w:rsid w:val="00766C87"/>
    <w:rsid w:val="0077018B"/>
    <w:rsid w:val="0077062F"/>
    <w:rsid w:val="00771452"/>
    <w:rsid w:val="0078578E"/>
    <w:rsid w:val="0079126E"/>
    <w:rsid w:val="007A555B"/>
    <w:rsid w:val="007B0278"/>
    <w:rsid w:val="007B0D6C"/>
    <w:rsid w:val="007B2309"/>
    <w:rsid w:val="007C0A6E"/>
    <w:rsid w:val="007C2FA1"/>
    <w:rsid w:val="007C3436"/>
    <w:rsid w:val="007C5090"/>
    <w:rsid w:val="007E340C"/>
    <w:rsid w:val="007E3A25"/>
    <w:rsid w:val="007F1279"/>
    <w:rsid w:val="008008E0"/>
    <w:rsid w:val="008037A6"/>
    <w:rsid w:val="008039D9"/>
    <w:rsid w:val="00810CD9"/>
    <w:rsid w:val="00814910"/>
    <w:rsid w:val="00820F98"/>
    <w:rsid w:val="00821141"/>
    <w:rsid w:val="008263AD"/>
    <w:rsid w:val="008269D0"/>
    <w:rsid w:val="0083424F"/>
    <w:rsid w:val="00834686"/>
    <w:rsid w:val="0084601B"/>
    <w:rsid w:val="008563B4"/>
    <w:rsid w:val="0087279D"/>
    <w:rsid w:val="00872A5B"/>
    <w:rsid w:val="008735A6"/>
    <w:rsid w:val="00876E20"/>
    <w:rsid w:val="00882006"/>
    <w:rsid w:val="00892423"/>
    <w:rsid w:val="00894A8B"/>
    <w:rsid w:val="008C1A41"/>
    <w:rsid w:val="008C7BCA"/>
    <w:rsid w:val="008E24C6"/>
    <w:rsid w:val="008E4E03"/>
    <w:rsid w:val="008F3006"/>
    <w:rsid w:val="008F6D0F"/>
    <w:rsid w:val="009069D9"/>
    <w:rsid w:val="009106EE"/>
    <w:rsid w:val="0091098A"/>
    <w:rsid w:val="00912C99"/>
    <w:rsid w:val="00917F2D"/>
    <w:rsid w:val="009339CC"/>
    <w:rsid w:val="00934911"/>
    <w:rsid w:val="00940796"/>
    <w:rsid w:val="0095193E"/>
    <w:rsid w:val="009544EE"/>
    <w:rsid w:val="0095745A"/>
    <w:rsid w:val="00970A2B"/>
    <w:rsid w:val="00972069"/>
    <w:rsid w:val="00981407"/>
    <w:rsid w:val="009928CC"/>
    <w:rsid w:val="009A7891"/>
    <w:rsid w:val="009B22ED"/>
    <w:rsid w:val="009B55DC"/>
    <w:rsid w:val="009B6E76"/>
    <w:rsid w:val="009D1D1A"/>
    <w:rsid w:val="009D3E04"/>
    <w:rsid w:val="009D6649"/>
    <w:rsid w:val="009E0363"/>
    <w:rsid w:val="009E5C2B"/>
    <w:rsid w:val="009F2F3C"/>
    <w:rsid w:val="009F5A87"/>
    <w:rsid w:val="009F7036"/>
    <w:rsid w:val="00A0104E"/>
    <w:rsid w:val="00A052D9"/>
    <w:rsid w:val="00A05BEF"/>
    <w:rsid w:val="00A0667E"/>
    <w:rsid w:val="00A06F54"/>
    <w:rsid w:val="00A10C6F"/>
    <w:rsid w:val="00A119F7"/>
    <w:rsid w:val="00A138CA"/>
    <w:rsid w:val="00A14653"/>
    <w:rsid w:val="00A23BD5"/>
    <w:rsid w:val="00A2556E"/>
    <w:rsid w:val="00A35875"/>
    <w:rsid w:val="00A42B09"/>
    <w:rsid w:val="00A50FA5"/>
    <w:rsid w:val="00A51F37"/>
    <w:rsid w:val="00A62A0D"/>
    <w:rsid w:val="00A67BA2"/>
    <w:rsid w:val="00A742ED"/>
    <w:rsid w:val="00A77296"/>
    <w:rsid w:val="00A77C86"/>
    <w:rsid w:val="00AA6D30"/>
    <w:rsid w:val="00AA7FC2"/>
    <w:rsid w:val="00AB1AE7"/>
    <w:rsid w:val="00AB1BEE"/>
    <w:rsid w:val="00AB3DA9"/>
    <w:rsid w:val="00AB6353"/>
    <w:rsid w:val="00AC0691"/>
    <w:rsid w:val="00AD296D"/>
    <w:rsid w:val="00AD37E2"/>
    <w:rsid w:val="00AE3658"/>
    <w:rsid w:val="00AE4B0B"/>
    <w:rsid w:val="00AE5AFC"/>
    <w:rsid w:val="00AF10D9"/>
    <w:rsid w:val="00AF316F"/>
    <w:rsid w:val="00AF545B"/>
    <w:rsid w:val="00B049ED"/>
    <w:rsid w:val="00B106B4"/>
    <w:rsid w:val="00B1073A"/>
    <w:rsid w:val="00B1441E"/>
    <w:rsid w:val="00B14F17"/>
    <w:rsid w:val="00B15AD6"/>
    <w:rsid w:val="00B204D1"/>
    <w:rsid w:val="00B30810"/>
    <w:rsid w:val="00B50739"/>
    <w:rsid w:val="00B5415C"/>
    <w:rsid w:val="00B55B3E"/>
    <w:rsid w:val="00B62CB0"/>
    <w:rsid w:val="00B71816"/>
    <w:rsid w:val="00B73794"/>
    <w:rsid w:val="00B75032"/>
    <w:rsid w:val="00B75933"/>
    <w:rsid w:val="00B77069"/>
    <w:rsid w:val="00B92C38"/>
    <w:rsid w:val="00BA1E44"/>
    <w:rsid w:val="00BA3C23"/>
    <w:rsid w:val="00BA4AC5"/>
    <w:rsid w:val="00BA55F4"/>
    <w:rsid w:val="00BA6C04"/>
    <w:rsid w:val="00BA7F03"/>
    <w:rsid w:val="00BB07BC"/>
    <w:rsid w:val="00BC278D"/>
    <w:rsid w:val="00BE7634"/>
    <w:rsid w:val="00BF1D8B"/>
    <w:rsid w:val="00C02F1E"/>
    <w:rsid w:val="00C10AC6"/>
    <w:rsid w:val="00C144D7"/>
    <w:rsid w:val="00C154BA"/>
    <w:rsid w:val="00C25D3F"/>
    <w:rsid w:val="00C32B76"/>
    <w:rsid w:val="00C42ECF"/>
    <w:rsid w:val="00C452CD"/>
    <w:rsid w:val="00C45A2C"/>
    <w:rsid w:val="00C50520"/>
    <w:rsid w:val="00C8395D"/>
    <w:rsid w:val="00C85E5F"/>
    <w:rsid w:val="00C862B0"/>
    <w:rsid w:val="00C903B9"/>
    <w:rsid w:val="00CA446A"/>
    <w:rsid w:val="00CC7171"/>
    <w:rsid w:val="00CD66D4"/>
    <w:rsid w:val="00CE1C76"/>
    <w:rsid w:val="00CE49CE"/>
    <w:rsid w:val="00CE5A29"/>
    <w:rsid w:val="00CF21D4"/>
    <w:rsid w:val="00CF633C"/>
    <w:rsid w:val="00D03468"/>
    <w:rsid w:val="00D249E3"/>
    <w:rsid w:val="00D32244"/>
    <w:rsid w:val="00D33177"/>
    <w:rsid w:val="00D46C56"/>
    <w:rsid w:val="00D470CE"/>
    <w:rsid w:val="00D53EF3"/>
    <w:rsid w:val="00D64A9B"/>
    <w:rsid w:val="00D64F6E"/>
    <w:rsid w:val="00D67914"/>
    <w:rsid w:val="00D7641F"/>
    <w:rsid w:val="00D807A8"/>
    <w:rsid w:val="00D83E07"/>
    <w:rsid w:val="00D84559"/>
    <w:rsid w:val="00DB324C"/>
    <w:rsid w:val="00DB5583"/>
    <w:rsid w:val="00DB7095"/>
    <w:rsid w:val="00DC5F3B"/>
    <w:rsid w:val="00DC6597"/>
    <w:rsid w:val="00DE4D58"/>
    <w:rsid w:val="00DF29B9"/>
    <w:rsid w:val="00DF44B3"/>
    <w:rsid w:val="00DF69D8"/>
    <w:rsid w:val="00E028D8"/>
    <w:rsid w:val="00E0623F"/>
    <w:rsid w:val="00E06C67"/>
    <w:rsid w:val="00E07D70"/>
    <w:rsid w:val="00E12C15"/>
    <w:rsid w:val="00E2633F"/>
    <w:rsid w:val="00E26E93"/>
    <w:rsid w:val="00E30D42"/>
    <w:rsid w:val="00E37257"/>
    <w:rsid w:val="00E4315F"/>
    <w:rsid w:val="00E54615"/>
    <w:rsid w:val="00E54633"/>
    <w:rsid w:val="00E61328"/>
    <w:rsid w:val="00E66F64"/>
    <w:rsid w:val="00E70429"/>
    <w:rsid w:val="00E91DAB"/>
    <w:rsid w:val="00E96442"/>
    <w:rsid w:val="00E96DC4"/>
    <w:rsid w:val="00EA2D34"/>
    <w:rsid w:val="00EB46AA"/>
    <w:rsid w:val="00EC408D"/>
    <w:rsid w:val="00EC6899"/>
    <w:rsid w:val="00ED106F"/>
    <w:rsid w:val="00ED3DF2"/>
    <w:rsid w:val="00ED536A"/>
    <w:rsid w:val="00ED7B8F"/>
    <w:rsid w:val="00EE3115"/>
    <w:rsid w:val="00EE5543"/>
    <w:rsid w:val="00F00328"/>
    <w:rsid w:val="00F07BBF"/>
    <w:rsid w:val="00F21461"/>
    <w:rsid w:val="00F26FEA"/>
    <w:rsid w:val="00F31E99"/>
    <w:rsid w:val="00F33FD5"/>
    <w:rsid w:val="00F425C9"/>
    <w:rsid w:val="00F51B57"/>
    <w:rsid w:val="00F52D9A"/>
    <w:rsid w:val="00F56F6C"/>
    <w:rsid w:val="00F61358"/>
    <w:rsid w:val="00F622E3"/>
    <w:rsid w:val="00F76DE6"/>
    <w:rsid w:val="00F77BF7"/>
    <w:rsid w:val="00F8002E"/>
    <w:rsid w:val="00F84F53"/>
    <w:rsid w:val="00F850E0"/>
    <w:rsid w:val="00F93BBE"/>
    <w:rsid w:val="00F95015"/>
    <w:rsid w:val="00F97B2C"/>
    <w:rsid w:val="00FA19B9"/>
    <w:rsid w:val="00FA7471"/>
    <w:rsid w:val="00FB0F11"/>
    <w:rsid w:val="00FC0D33"/>
    <w:rsid w:val="00FC134F"/>
    <w:rsid w:val="00FD1A48"/>
    <w:rsid w:val="00FD2EE6"/>
    <w:rsid w:val="00FD4CDC"/>
    <w:rsid w:val="00FD68DC"/>
    <w:rsid w:val="00FE030A"/>
    <w:rsid w:val="00FF1A4C"/>
    <w:rsid w:val="00FF5FC7"/>
    <w:rsid w:val="00FF6A7A"/>
    <w:rsid w:val="08FF18DA"/>
    <w:rsid w:val="131F0139"/>
    <w:rsid w:val="1FA16272"/>
    <w:rsid w:val="53E26FAD"/>
    <w:rsid w:val="5C555BB1"/>
    <w:rsid w:val="653F2D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qFormat="1" w:uiPriority="99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qFormat="1" w:uiPriority="99" w:semiHidden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qFormat="1" w:unhideWhenUsed="0" w:uiPriority="0" w:semiHidden="0" w:name="Document Map"/>
    <w:lsdException w:uiPriority="0" w:name="Plain Text"/>
    <w:lsdException w:uiPriority="0" w:name="E-mail Signature"/>
    <w:lsdException w:qFormat="1" w:uiPriority="99" w:semiHidden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qFormat="1"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after="330" w:line="576" w:lineRule="auto"/>
      <w:outlineLvl w:val="0"/>
    </w:pPr>
    <w:rPr>
      <w:b/>
      <w:bCs/>
      <w:kern w:val="44"/>
      <w:sz w:val="44"/>
      <w:szCs w:val="44"/>
    </w:rPr>
  </w:style>
  <w:style w:type="character" w:default="1" w:styleId="12">
    <w:name w:val="Default Paragraph Font"/>
    <w:semiHidden/>
    <w:unhideWhenUsed/>
    <w:qFormat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Document Map"/>
    <w:basedOn w:val="1"/>
    <w:link w:val="20"/>
    <w:qFormat/>
    <w:uiPriority w:val="0"/>
    <w:rPr>
      <w:rFonts w:ascii="宋体"/>
      <w:sz w:val="18"/>
      <w:szCs w:val="18"/>
    </w:rPr>
  </w:style>
  <w:style w:type="paragraph" w:styleId="4">
    <w:name w:val="annotation text"/>
    <w:basedOn w:val="1"/>
    <w:link w:val="18"/>
    <w:unhideWhenUsed/>
    <w:qFormat/>
    <w:uiPriority w:val="99"/>
    <w:pPr>
      <w:jc w:val="left"/>
    </w:pPr>
  </w:style>
  <w:style w:type="paragraph" w:styleId="5">
    <w:name w:val="Balloon Text"/>
    <w:basedOn w:val="1"/>
    <w:link w:val="19"/>
    <w:qFormat/>
    <w:uiPriority w:val="0"/>
    <w:rPr>
      <w:sz w:val="18"/>
      <w:szCs w:val="18"/>
    </w:rPr>
  </w:style>
  <w:style w:type="paragraph" w:styleId="6">
    <w:name w:val="footer"/>
    <w:basedOn w:val="1"/>
    <w:link w:val="15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4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styleId="9">
    <w:name w:val="annotation subject"/>
    <w:basedOn w:val="4"/>
    <w:next w:val="4"/>
    <w:link w:val="21"/>
    <w:qFormat/>
    <w:uiPriority w:val="0"/>
    <w:rPr>
      <w:b/>
      <w:bCs/>
    </w:rPr>
  </w:style>
  <w:style w:type="table" w:styleId="11">
    <w:name w:val="Table Grid"/>
    <w:basedOn w:val="10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3">
    <w:name w:val="annotation reference"/>
    <w:unhideWhenUsed/>
    <w:qFormat/>
    <w:uiPriority w:val="99"/>
    <w:rPr>
      <w:sz w:val="21"/>
      <w:szCs w:val="21"/>
    </w:rPr>
  </w:style>
  <w:style w:type="character" w:customStyle="1" w:styleId="14">
    <w:name w:val="页眉 字符"/>
    <w:link w:val="7"/>
    <w:qFormat/>
    <w:uiPriority w:val="0"/>
    <w:rPr>
      <w:kern w:val="2"/>
      <w:sz w:val="18"/>
      <w:szCs w:val="18"/>
    </w:rPr>
  </w:style>
  <w:style w:type="character" w:customStyle="1" w:styleId="15">
    <w:name w:val="页脚 字符"/>
    <w:link w:val="6"/>
    <w:qFormat/>
    <w:uiPriority w:val="0"/>
    <w:rPr>
      <w:kern w:val="2"/>
      <w:sz w:val="18"/>
      <w:szCs w:val="18"/>
    </w:rPr>
  </w:style>
  <w:style w:type="paragraph" w:styleId="16">
    <w:name w:val="List Paragraph"/>
    <w:basedOn w:val="1"/>
    <w:qFormat/>
    <w:uiPriority w:val="34"/>
    <w:pPr>
      <w:ind w:firstLine="420" w:firstLineChars="200"/>
    </w:pPr>
    <w:rPr>
      <w:rFonts w:ascii="Calibri" w:hAnsi="Calibri"/>
      <w:szCs w:val="22"/>
    </w:rPr>
  </w:style>
  <w:style w:type="paragraph" w:customStyle="1" w:styleId="17">
    <w:name w:val="Default"/>
    <w:qFormat/>
    <w:uiPriority w:val="0"/>
    <w:pPr>
      <w:widowControl w:val="0"/>
      <w:autoSpaceDE w:val="0"/>
      <w:autoSpaceDN w:val="0"/>
      <w:adjustRightInd w:val="0"/>
    </w:pPr>
    <w:rPr>
      <w:rFonts w:ascii="Myriad Pro" w:hAnsi="Myriad Pro" w:eastAsia="Myriad Pro" w:cs="Myriad Pro"/>
      <w:color w:val="000000"/>
      <w:sz w:val="24"/>
      <w:szCs w:val="24"/>
      <w:lang w:val="en-US" w:eastAsia="zh-CN" w:bidi="ar-SA"/>
    </w:rPr>
  </w:style>
  <w:style w:type="character" w:customStyle="1" w:styleId="18">
    <w:name w:val="批注文字 字符"/>
    <w:link w:val="4"/>
    <w:qFormat/>
    <w:uiPriority w:val="99"/>
    <w:rPr>
      <w:kern w:val="2"/>
      <w:sz w:val="21"/>
      <w:szCs w:val="24"/>
    </w:rPr>
  </w:style>
  <w:style w:type="character" w:customStyle="1" w:styleId="19">
    <w:name w:val="批注框文本 字符"/>
    <w:link w:val="5"/>
    <w:qFormat/>
    <w:uiPriority w:val="0"/>
    <w:rPr>
      <w:kern w:val="2"/>
      <w:sz w:val="18"/>
      <w:szCs w:val="18"/>
    </w:rPr>
  </w:style>
  <w:style w:type="character" w:customStyle="1" w:styleId="20">
    <w:name w:val="文档结构图 字符"/>
    <w:basedOn w:val="12"/>
    <w:link w:val="3"/>
    <w:qFormat/>
    <w:uiPriority w:val="0"/>
    <w:rPr>
      <w:rFonts w:ascii="宋体"/>
      <w:kern w:val="2"/>
      <w:sz w:val="18"/>
      <w:szCs w:val="18"/>
    </w:rPr>
  </w:style>
  <w:style w:type="character" w:customStyle="1" w:styleId="21">
    <w:name w:val="批注主题 字符"/>
    <w:basedOn w:val="18"/>
    <w:link w:val="9"/>
    <w:qFormat/>
    <w:uiPriority w:val="0"/>
    <w:rPr>
      <w:b/>
      <w:bCs/>
      <w:kern w:val="2"/>
      <w:sz w:val="21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FC5BF68-0B83-4779-8404-1116D761BD7C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mr</Company>
  <Pages>3</Pages>
  <Words>302</Words>
  <Characters>1722</Characters>
  <Lines>14</Lines>
  <Paragraphs>4</Paragraphs>
  <TotalTime>3</TotalTime>
  <ScaleCrop>false</ScaleCrop>
  <LinksUpToDate>false</LinksUpToDate>
  <CharactersWithSpaces>2020</CharactersWithSpaces>
  <Application>WPS Office_12.1.0.15946_F1E327BC-269C-435d-A152-05C5408002CA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2019-06-05T05:49:00Z</dcterms:created>
  <dc:creator>50212362</dc:creator>
  <cp:lastModifiedBy>蓝色贝雷</cp:lastModifiedBy>
  <dcterms:modified xsi:type="dcterms:W3CDTF">2024-02-20T11:45:43Z</dcterms:modified>
  <cp:revision>39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2052-12.1.0.15946</vt:lpwstr>
  </property>
  <property fmtid="{D5CDD505-2E9C-101B-9397-08002B2CF9AE}" pid="3" name="ICV">
    <vt:lpwstr>C09A6A1600AC4AC58A22DAE43D56F7B3_13</vt:lpwstr>
  </property>
</Properties>
</file>