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ascii="Arial" w:hAnsi="Arial" w:eastAsia="方正小标宋简体" w:cs="Arial"/>
          <w:color w:val="auto"/>
          <w:sz w:val="72"/>
          <w:szCs w:val="72"/>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（甲状腺手术器械医院公开挂网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甲状腺手术器械</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甲状腺手术器械</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2、参加政府采购活动近3年内，在经营活动中没有重大违法记录，拥有湖南省政府采购电子卖场供应商账号；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I 型甲状腺拉钩(小号左弯） </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7700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I型甲状腺拉钩(小号右弯）</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7700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I型甲状腺拉钩(中号直)</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7700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II 型甲状腺拉钩(简易)</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7600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悬吊卷链器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5000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悬吊装置固定器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悬吊杆</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3800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隐疤痕免气腹甲状腺手术器械箱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赠送</w:t>
            </w:r>
            <w:bookmarkStart w:id="4" w:name="_GoBack"/>
            <w:bookmarkEnd w:id="4"/>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4" w:type="dxa"/>
              <w:left w:w="147" w:type="dxa"/>
              <w:bottom w:w="74" w:type="dxa"/>
              <w:right w:w="147" w:type="dxa"/>
            </w:tcMar>
            <w:vAlign w:val="center"/>
          </w:tcPr>
          <w:p>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44000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4" w:type="dxa"/>
              <w:left w:w="147" w:type="dxa"/>
              <w:bottom w:w="74" w:type="dxa"/>
              <w:right w:w="147"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b/>
          <w:bCs/>
          <w:color w:val="auto"/>
          <w:sz w:val="24"/>
          <w:szCs w:val="24"/>
          <w:lang w:val="en-US" w:eastAsia="zh-CN"/>
        </w:rPr>
        <w:t xml:space="preserve"> </w:t>
      </w:r>
      <w:r>
        <w:rPr>
          <w:rFonts w:hint="eastAsia" w:asciiTheme="minorEastAsia" w:hAnsiTheme="minorEastAsia" w:eastAsiaTheme="minorEastAsia" w:cstheme="minorEastAsia"/>
          <w:b/>
          <w:bCs w:val="0"/>
          <w:color w:val="auto"/>
          <w:kern w:val="0"/>
          <w:sz w:val="24"/>
          <w:szCs w:val="24"/>
          <w:lang w:val="en-US" w:eastAsia="zh-CN" w:bidi="ar-SA"/>
        </w:rPr>
        <w:t>技术参数:</w:t>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一、</w:t>
      </w:r>
      <w:r>
        <w:rPr>
          <w:rFonts w:hint="eastAsia" w:ascii="宋体" w:hAnsi="宋体" w:eastAsia="宋体" w:cs="宋体"/>
          <w:sz w:val="24"/>
          <w:szCs w:val="24"/>
        </w:rPr>
        <w:t>此类产品本术式适应症：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1，甲状腺结节及肿瘤等良性病灶，直径小于6cm</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分化型甲状腺癌，要求肿瘤最大直径小于4cm，或肿瘤突破甲状腺包膜的微小外侵病灶，或仅侵犯颈前带状肌如胸骨甲状肌，最好没有颈侧方淋巴转移，或者有转移单淋巴结较小（小于或等于3cm）且无包膜外侵的淋巴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3，患者有颈部不留疤痕的美容手术要求。</w:t>
      </w:r>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产品由《甲状腺手术器械包》的Ⅰ型甲状腺牵开器、Ⅰ型甲状腺拉钩和Ⅱ型甲状腺拉钩组成，其中包含Ⅰ型甲状腺牵开器悬吊卷链器、悬吊杆和悬吊装置固定器，Ⅰ型甲状腺拉钩小号左弯、小号右弯和中号直，Ⅱ型甲状腺拉钩15。</w:t>
      </w:r>
    </w:p>
    <w:p>
      <w:pPr>
        <w:widowControl w:val="0"/>
        <w:numPr>
          <w:ilvl w:val="0"/>
          <w:numId w:val="0"/>
        </w:numPr>
        <w:jc w:val="both"/>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467350" cy="440055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67350" cy="4400550"/>
                    </a:xfrm>
                    <a:prstGeom prst="rect">
                      <a:avLst/>
                    </a:prstGeom>
                    <a:noFill/>
                    <a:ln>
                      <a:noFill/>
                    </a:ln>
                    <a:effectLst/>
                  </pic:spPr>
                </pic:pic>
              </a:graphicData>
            </a:graphic>
          </wp:inline>
        </w:drawing>
      </w:r>
    </w:p>
    <w:p>
      <w:pPr>
        <w:widowControl w:val="0"/>
        <w:numPr>
          <w:ilvl w:val="0"/>
          <w:numId w:val="0"/>
        </w:numPr>
        <w:jc w:val="both"/>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tbl>
      <w:tblPr>
        <w:tblStyle w:val="10"/>
        <w:tblW w:w="8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3125"/>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主要技术参数</w:t>
            </w: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功能介绍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 xml:space="preserve"> I型甲状腺牵开器</w:t>
            </w:r>
          </w:p>
          <w:p>
            <w:pPr>
              <w:jc w:val="center"/>
              <w:rPr>
                <w:rFonts w:hint="eastAsia" w:ascii="宋体" w:hAnsi="宋体" w:eastAsia="宋体" w:cs="宋体"/>
                <w:sz w:val="24"/>
                <w:szCs w:val="24"/>
              </w:rPr>
            </w:pPr>
            <w:r>
              <w:rPr>
                <w:rFonts w:hint="eastAsia" w:ascii="宋体" w:hAnsi="宋体" w:eastAsia="宋体" w:cs="宋体"/>
                <w:sz w:val="24"/>
                <w:szCs w:val="24"/>
              </w:rPr>
              <w:t>悬吊装置固定器</w:t>
            </w:r>
          </w:p>
        </w:tc>
        <w:tc>
          <w:tcPr>
            <w:tcW w:w="3125" w:type="dxa"/>
          </w:tcPr>
          <w:p>
            <w:pPr>
              <w:rPr>
                <w:rFonts w:hint="eastAsia" w:ascii="宋体" w:hAnsi="宋体" w:eastAsia="宋体" w:cs="宋体"/>
                <w:sz w:val="24"/>
                <w:szCs w:val="24"/>
              </w:rPr>
            </w:pPr>
            <w:r>
              <w:rPr>
                <w:rFonts w:hint="eastAsia" w:ascii="宋体" w:hAnsi="宋体" w:eastAsia="宋体" w:cs="宋体"/>
                <w:sz w:val="24"/>
                <w:szCs w:val="24"/>
              </w:rPr>
              <w:t xml:space="preserve"> YY/T 0294.1-2016标准中的M号钢材料制造，经固定后垂直拉力50N，变形不超过1cm</w:t>
            </w:r>
          </w:p>
          <w:p>
            <w:pPr>
              <w:rPr>
                <w:rFonts w:hint="eastAsia" w:ascii="宋体" w:hAnsi="宋体" w:eastAsia="宋体" w:cs="宋体"/>
                <w:sz w:val="24"/>
                <w:szCs w:val="24"/>
              </w:rPr>
            </w:pPr>
            <w:r>
              <w:rPr>
                <w:rFonts w:hint="eastAsia" w:ascii="宋体" w:hAnsi="宋体" w:eastAsia="宋体" w:cs="宋体"/>
                <w:sz w:val="24"/>
                <w:szCs w:val="24"/>
              </w:rPr>
              <w:t>最小调整角度：10度</w:t>
            </w:r>
          </w:p>
          <w:p>
            <w:pPr>
              <w:rPr>
                <w:rFonts w:hint="eastAsia" w:ascii="宋体" w:hAnsi="宋体" w:eastAsia="宋体" w:cs="宋体"/>
                <w:sz w:val="24"/>
                <w:szCs w:val="24"/>
              </w:rPr>
            </w:pPr>
            <w:r>
              <w:rPr>
                <w:rFonts w:hint="eastAsia" w:ascii="宋体" w:hAnsi="宋体" w:eastAsia="宋体" w:cs="宋体"/>
                <w:sz w:val="24"/>
                <w:szCs w:val="24"/>
              </w:rPr>
              <w:t>悬吊杆孔径：不大于D18mm</w:t>
            </w:r>
          </w:p>
        </w:tc>
        <w:tc>
          <w:tcPr>
            <w:tcW w:w="3173" w:type="dxa"/>
          </w:tcPr>
          <w:p>
            <w:pPr>
              <w:rPr>
                <w:rFonts w:hint="eastAsia" w:ascii="宋体" w:hAnsi="宋体" w:eastAsia="宋体" w:cs="宋体"/>
                <w:sz w:val="24"/>
                <w:szCs w:val="24"/>
              </w:rPr>
            </w:pPr>
            <w:r>
              <w:rPr>
                <w:rFonts w:hint="eastAsia" w:ascii="宋体" w:hAnsi="宋体" w:eastAsia="宋体" w:cs="宋体"/>
                <w:sz w:val="24"/>
                <w:szCs w:val="24"/>
              </w:rPr>
              <w:t>可通过调整齿形螺纹套调节悬吊杆角度，并可上下调节高度，自由度高。</w:t>
            </w:r>
          </w:p>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I型甲状腺牵开器悬吊杆</w:t>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 xml:space="preserve"> YY/T 0294.1-2016标准中的M号钢材料制造，经固定后垂直拉力50N，变形不超过1cm</w:t>
            </w:r>
          </w:p>
          <w:p>
            <w:pPr>
              <w:jc w:val="center"/>
              <w:rPr>
                <w:rFonts w:hint="eastAsia" w:ascii="宋体" w:hAnsi="宋体" w:eastAsia="宋体" w:cs="宋体"/>
                <w:sz w:val="24"/>
                <w:szCs w:val="24"/>
              </w:rPr>
            </w:pPr>
            <w:r>
              <w:rPr>
                <w:rFonts w:hint="eastAsia" w:ascii="宋体" w:hAnsi="宋体" w:eastAsia="宋体" w:cs="宋体"/>
                <w:sz w:val="24"/>
                <w:szCs w:val="24"/>
              </w:rPr>
              <w:t>高低调节范围：0-64cm</w:t>
            </w:r>
          </w:p>
          <w:p>
            <w:pPr>
              <w:jc w:val="center"/>
              <w:rPr>
                <w:rFonts w:hint="eastAsia" w:ascii="宋体" w:hAnsi="宋体" w:eastAsia="宋体" w:cs="宋体"/>
                <w:sz w:val="24"/>
                <w:szCs w:val="24"/>
              </w:rPr>
            </w:pPr>
            <w:r>
              <w:rPr>
                <w:rFonts w:hint="eastAsia" w:ascii="宋体" w:hAnsi="宋体" w:eastAsia="宋体" w:cs="宋体"/>
                <w:sz w:val="24"/>
                <w:szCs w:val="24"/>
              </w:rPr>
              <w:t>横向调节范围：0-55cm</w:t>
            </w:r>
          </w:p>
        </w:tc>
        <w:tc>
          <w:tcPr>
            <w:tcW w:w="3173" w:type="dxa"/>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 xml:space="preserve"> I型甲状腺牵开器</w:t>
            </w:r>
          </w:p>
          <w:p>
            <w:pPr>
              <w:jc w:val="center"/>
              <w:rPr>
                <w:rFonts w:hint="eastAsia" w:ascii="宋体" w:hAnsi="宋体" w:eastAsia="宋体" w:cs="宋体"/>
                <w:sz w:val="24"/>
                <w:szCs w:val="24"/>
              </w:rPr>
            </w:pPr>
            <w:r>
              <w:rPr>
                <w:rFonts w:hint="eastAsia" w:ascii="宋体" w:hAnsi="宋体" w:eastAsia="宋体" w:cs="宋体"/>
                <w:sz w:val="24"/>
                <w:szCs w:val="24"/>
              </w:rPr>
              <w:t>悬吊卷链器</w:t>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YY/T 0294.1-2016标准中的M号钢材料制造，经固定后垂直拉力50N，变形不超过1cm</w:t>
            </w:r>
          </w:p>
          <w:p>
            <w:pPr>
              <w:jc w:val="center"/>
              <w:rPr>
                <w:rFonts w:hint="eastAsia" w:ascii="宋体" w:hAnsi="宋体" w:eastAsia="宋体" w:cs="宋体"/>
                <w:sz w:val="24"/>
                <w:szCs w:val="24"/>
              </w:rPr>
            </w:pPr>
            <w:r>
              <w:rPr>
                <w:rFonts w:hint="eastAsia" w:ascii="宋体" w:hAnsi="宋体" w:eastAsia="宋体" w:cs="宋体"/>
                <w:sz w:val="24"/>
                <w:szCs w:val="24"/>
              </w:rPr>
              <w:t>高低调节范围：0-10cm</w:t>
            </w: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可拆卸成三个零件，清洗、灭菌彻底。结构简单牢靠，上下调节范围大，手术操作方便</w:t>
            </w:r>
          </w:p>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Ⅰ型甲状腺拉钩</w:t>
            </w:r>
          </w:p>
          <w:p>
            <w:pPr>
              <w:jc w:val="center"/>
              <w:rPr>
                <w:rFonts w:hint="eastAsia" w:ascii="宋体" w:hAnsi="宋体" w:eastAsia="宋体" w:cs="宋体"/>
                <w:sz w:val="24"/>
                <w:szCs w:val="24"/>
              </w:rPr>
            </w:pPr>
            <w:r>
              <w:rPr>
                <w:rFonts w:hint="eastAsia" w:ascii="宋体" w:hAnsi="宋体" w:eastAsia="宋体" w:cs="宋体"/>
                <w:sz w:val="24"/>
                <w:szCs w:val="24"/>
              </w:rPr>
              <w:t>小号左弯</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1314450" cy="2749550"/>
                  <wp:effectExtent l="0" t="0" r="1143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14450" cy="2749550"/>
                          </a:xfrm>
                          <a:prstGeom prst="rect">
                            <a:avLst/>
                          </a:prstGeom>
                          <a:noFill/>
                          <a:ln>
                            <a:noFill/>
                          </a:ln>
                        </pic:spPr>
                      </pic:pic>
                    </a:graphicData>
                  </a:graphic>
                </wp:inline>
              </w:drawing>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YY/T 0294.1-2016标准中的05Cr17Ni4Cu4Nb钢材料制造，组织拉钩进入人体部位表面粗糙度Ra值应≤0.8μm，具有不小于50N的弹性拉力。</w:t>
            </w:r>
          </w:p>
          <w:p>
            <w:pPr>
              <w:jc w:val="center"/>
              <w:rPr>
                <w:rFonts w:hint="eastAsia" w:ascii="宋体" w:hAnsi="宋体" w:eastAsia="宋体" w:cs="宋体"/>
                <w:sz w:val="24"/>
                <w:szCs w:val="24"/>
              </w:rPr>
            </w:pPr>
            <w:r>
              <w:rPr>
                <w:rFonts w:hint="eastAsia" w:ascii="宋体" w:hAnsi="宋体" w:eastAsia="宋体" w:cs="宋体"/>
                <w:sz w:val="24"/>
                <w:szCs w:val="24"/>
              </w:rPr>
              <w:t>头部宽度：40mm</w:t>
            </w:r>
          </w:p>
          <w:p>
            <w:pPr>
              <w:jc w:val="center"/>
              <w:rPr>
                <w:rFonts w:hint="eastAsia" w:ascii="宋体" w:hAnsi="宋体" w:eastAsia="宋体" w:cs="宋体"/>
                <w:sz w:val="24"/>
                <w:szCs w:val="24"/>
              </w:rPr>
            </w:pPr>
            <w:r>
              <w:rPr>
                <w:rFonts w:hint="eastAsia" w:ascii="宋体" w:hAnsi="宋体" w:eastAsia="宋体" w:cs="宋体"/>
                <w:sz w:val="24"/>
                <w:szCs w:val="24"/>
              </w:rPr>
              <w:t>头端弯曲角度：30度</w:t>
            </w:r>
          </w:p>
          <w:p>
            <w:pPr>
              <w:jc w:val="center"/>
              <w:rPr>
                <w:rFonts w:hint="eastAsia" w:ascii="宋体" w:hAnsi="宋体" w:eastAsia="宋体" w:cs="宋体"/>
                <w:sz w:val="24"/>
                <w:szCs w:val="24"/>
              </w:rPr>
            </w:pPr>
            <w:r>
              <w:rPr>
                <w:rFonts w:hint="eastAsia" w:ascii="宋体" w:hAnsi="宋体" w:eastAsia="宋体" w:cs="宋体"/>
                <w:sz w:val="24"/>
                <w:szCs w:val="24"/>
              </w:rPr>
              <w:t>钩身长：21cm</w:t>
            </w:r>
          </w:p>
          <w:p>
            <w:pPr>
              <w:jc w:val="center"/>
              <w:rPr>
                <w:rFonts w:hint="eastAsia" w:ascii="宋体" w:hAnsi="宋体" w:eastAsia="宋体" w:cs="宋体"/>
                <w:sz w:val="24"/>
                <w:szCs w:val="24"/>
              </w:rPr>
            </w:pPr>
            <w:r>
              <w:rPr>
                <w:rFonts w:hint="eastAsia" w:ascii="宋体" w:hAnsi="宋体" w:eastAsia="宋体" w:cs="宋体"/>
                <w:sz w:val="24"/>
                <w:szCs w:val="24"/>
              </w:rPr>
              <w:t>悬高：9cm</w:t>
            </w:r>
          </w:p>
          <w:p>
            <w:pPr>
              <w:jc w:val="center"/>
              <w:rPr>
                <w:rFonts w:hint="eastAsia" w:ascii="宋体" w:hAnsi="宋体" w:eastAsia="宋体" w:cs="宋体"/>
                <w:sz w:val="24"/>
                <w:szCs w:val="24"/>
              </w:rPr>
            </w:pPr>
            <w:r>
              <w:rPr>
                <w:rFonts w:hint="eastAsia" w:ascii="宋体" w:hAnsi="宋体" w:eastAsia="宋体" w:cs="宋体"/>
                <w:sz w:val="24"/>
                <w:szCs w:val="24"/>
              </w:rPr>
              <w:t>头端镂空</w:t>
            </w: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头宽40，拉钩头端尺寸小，进入人体容易，钩头部分与钩体角度为30度，符合人体生理结构，整个承托肌肉形成完美的暴露间隙，使甲状腺腔镜手术具有良好的操作空间，大大降低手术难度，提高效率，可使手术时间接近传统开放手术。拉钩带有半埋式吸引管，不影响器械操作的同时可以有效吸引手术中能量器械产生的烟雾，术中无烟雾或水汽影响视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Ⅰ型甲状腺拉钩</w:t>
            </w:r>
          </w:p>
          <w:p>
            <w:pPr>
              <w:jc w:val="center"/>
              <w:rPr>
                <w:rFonts w:hint="eastAsia" w:ascii="宋体" w:hAnsi="宋体" w:eastAsia="宋体" w:cs="宋体"/>
                <w:sz w:val="24"/>
                <w:szCs w:val="24"/>
              </w:rPr>
            </w:pPr>
            <w:r>
              <w:rPr>
                <w:rFonts w:hint="eastAsia" w:ascii="宋体" w:hAnsi="宋体" w:eastAsia="宋体" w:cs="宋体"/>
                <w:sz w:val="24"/>
                <w:szCs w:val="24"/>
              </w:rPr>
              <w:t>小号右弯</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1314450" cy="2698750"/>
                  <wp:effectExtent l="0" t="0" r="1143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314450" cy="2698750"/>
                          </a:xfrm>
                          <a:prstGeom prst="rect">
                            <a:avLst/>
                          </a:prstGeom>
                          <a:noFill/>
                          <a:ln>
                            <a:noFill/>
                          </a:ln>
                        </pic:spPr>
                      </pic:pic>
                    </a:graphicData>
                  </a:graphic>
                </wp:inline>
              </w:drawing>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YY/T 0294.1-2016标准中的05Cr17Ni4Cu4Nb钢材料制造，组织拉钩进入人体部位表面粗糙度Ra值应≤0.8μm，具有不小于50N的弹性拉力。</w:t>
            </w:r>
          </w:p>
          <w:p>
            <w:pPr>
              <w:jc w:val="center"/>
              <w:rPr>
                <w:rFonts w:hint="eastAsia" w:ascii="宋体" w:hAnsi="宋体" w:eastAsia="宋体" w:cs="宋体"/>
                <w:sz w:val="24"/>
                <w:szCs w:val="24"/>
              </w:rPr>
            </w:pPr>
            <w:r>
              <w:rPr>
                <w:rFonts w:hint="eastAsia" w:ascii="宋体" w:hAnsi="宋体" w:eastAsia="宋体" w:cs="宋体"/>
                <w:sz w:val="24"/>
                <w:szCs w:val="24"/>
              </w:rPr>
              <w:t>头部宽度：40mm</w:t>
            </w:r>
          </w:p>
          <w:p>
            <w:pPr>
              <w:jc w:val="center"/>
              <w:rPr>
                <w:rFonts w:hint="eastAsia" w:ascii="宋体" w:hAnsi="宋体" w:eastAsia="宋体" w:cs="宋体"/>
                <w:sz w:val="24"/>
                <w:szCs w:val="24"/>
              </w:rPr>
            </w:pPr>
            <w:r>
              <w:rPr>
                <w:rFonts w:hint="eastAsia" w:ascii="宋体" w:hAnsi="宋体" w:eastAsia="宋体" w:cs="宋体"/>
                <w:sz w:val="24"/>
                <w:szCs w:val="24"/>
              </w:rPr>
              <w:t>头端弯曲角度：30度</w:t>
            </w:r>
          </w:p>
          <w:p>
            <w:pPr>
              <w:jc w:val="center"/>
              <w:rPr>
                <w:rFonts w:hint="eastAsia" w:ascii="宋体" w:hAnsi="宋体" w:eastAsia="宋体" w:cs="宋体"/>
                <w:sz w:val="24"/>
                <w:szCs w:val="24"/>
              </w:rPr>
            </w:pPr>
            <w:r>
              <w:rPr>
                <w:rFonts w:hint="eastAsia" w:ascii="宋体" w:hAnsi="宋体" w:eastAsia="宋体" w:cs="宋体"/>
                <w:sz w:val="24"/>
                <w:szCs w:val="24"/>
              </w:rPr>
              <w:t>钩身长：21cm</w:t>
            </w:r>
          </w:p>
          <w:p>
            <w:pPr>
              <w:jc w:val="center"/>
              <w:rPr>
                <w:rFonts w:hint="eastAsia" w:ascii="宋体" w:hAnsi="宋体" w:eastAsia="宋体" w:cs="宋体"/>
                <w:sz w:val="24"/>
                <w:szCs w:val="24"/>
              </w:rPr>
            </w:pPr>
            <w:r>
              <w:rPr>
                <w:rFonts w:hint="eastAsia" w:ascii="宋体" w:hAnsi="宋体" w:eastAsia="宋体" w:cs="宋体"/>
                <w:sz w:val="24"/>
                <w:szCs w:val="24"/>
              </w:rPr>
              <w:t>悬高：9cm</w:t>
            </w:r>
          </w:p>
          <w:p>
            <w:pPr>
              <w:jc w:val="center"/>
              <w:rPr>
                <w:rFonts w:hint="eastAsia" w:ascii="宋体" w:hAnsi="宋体" w:eastAsia="宋体" w:cs="宋体"/>
                <w:sz w:val="24"/>
                <w:szCs w:val="24"/>
              </w:rPr>
            </w:pPr>
            <w:r>
              <w:rPr>
                <w:rFonts w:hint="eastAsia" w:ascii="宋体" w:hAnsi="宋体" w:eastAsia="宋体" w:cs="宋体"/>
                <w:sz w:val="24"/>
                <w:szCs w:val="24"/>
              </w:rPr>
              <w:t>头端镂空</w:t>
            </w:r>
          </w:p>
          <w:p>
            <w:pPr>
              <w:jc w:val="center"/>
              <w:rPr>
                <w:rFonts w:hint="eastAsia" w:ascii="宋体" w:hAnsi="宋体" w:eastAsia="宋体" w:cs="宋体"/>
                <w:sz w:val="24"/>
                <w:szCs w:val="24"/>
              </w:rPr>
            </w:pPr>
          </w:p>
          <w:p>
            <w:pPr>
              <w:jc w:val="center"/>
              <w:rPr>
                <w:rFonts w:hint="eastAsia" w:ascii="宋体" w:hAnsi="宋体" w:eastAsia="宋体" w:cs="宋体"/>
                <w:sz w:val="24"/>
                <w:szCs w:val="24"/>
              </w:rPr>
            </w:pP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头宽40，拉钩头端尺寸小，进入人体容易，钩头部分与钩体角度为30度，符合人体生理结构，整个承托肌肉形成完美的暴露间隙，使甲状腺腔镜手术具有良好的操作空间，大大降低手术难度，提高效率，可使手术时间接近传统开放手术。拉钩带有半埋式吸引管，不影响器械操作的同时可以有效吸引手术中能量器械产生的烟雾，术中无烟雾或水汽影响视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Ⅰ型甲状腺拉钩</w:t>
            </w:r>
          </w:p>
          <w:p>
            <w:pPr>
              <w:jc w:val="center"/>
              <w:rPr>
                <w:rFonts w:hint="eastAsia" w:ascii="宋体" w:hAnsi="宋体" w:eastAsia="宋体" w:cs="宋体"/>
                <w:sz w:val="24"/>
                <w:szCs w:val="24"/>
              </w:rPr>
            </w:pPr>
            <w:r>
              <w:rPr>
                <w:rFonts w:hint="eastAsia" w:ascii="宋体" w:hAnsi="宋体" w:eastAsia="宋体" w:cs="宋体"/>
                <w:sz w:val="24"/>
                <w:szCs w:val="24"/>
              </w:rPr>
              <w:t>中号直</w:t>
            </w:r>
            <w:r>
              <w:rPr>
                <w:rFonts w:hint="eastAsia" w:ascii="宋体" w:hAnsi="宋体" w:eastAsia="宋体" w:cs="宋体"/>
                <w:sz w:val="24"/>
                <w:szCs w:val="24"/>
              </w:rPr>
              <w:drawing>
                <wp:inline distT="0" distB="0" distL="0" distR="0">
                  <wp:extent cx="1314450" cy="2686050"/>
                  <wp:effectExtent l="0" t="0" r="11430" b="1143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14450" cy="2686050"/>
                          </a:xfrm>
                          <a:prstGeom prst="rect">
                            <a:avLst/>
                          </a:prstGeom>
                          <a:noFill/>
                          <a:ln>
                            <a:noFill/>
                          </a:ln>
                        </pic:spPr>
                      </pic:pic>
                    </a:graphicData>
                  </a:graphic>
                </wp:inline>
              </w:drawing>
            </w:r>
          </w:p>
        </w:tc>
        <w:tc>
          <w:tcPr>
            <w:tcW w:w="3125" w:type="dxa"/>
          </w:tcPr>
          <w:p>
            <w:pPr>
              <w:rPr>
                <w:rFonts w:hint="eastAsia" w:ascii="宋体" w:hAnsi="宋体" w:eastAsia="宋体" w:cs="宋体"/>
                <w:sz w:val="24"/>
                <w:szCs w:val="24"/>
              </w:rPr>
            </w:pPr>
            <w:r>
              <w:rPr>
                <w:rFonts w:hint="eastAsia" w:ascii="宋体" w:hAnsi="宋体" w:eastAsia="宋体" w:cs="宋体"/>
                <w:sz w:val="24"/>
                <w:szCs w:val="24"/>
              </w:rPr>
              <w:t>YY/T 0294.1-2016标准中的05Cr17Ni4Cu4Nb钢材料制造，组织拉钩进入人体部位表面粗糙度Ra值应≤0.8μm，具有不小于50N的弹性拉力。</w:t>
            </w:r>
          </w:p>
          <w:p>
            <w:pPr>
              <w:jc w:val="center"/>
              <w:rPr>
                <w:rFonts w:hint="eastAsia" w:ascii="宋体" w:hAnsi="宋体" w:eastAsia="宋体" w:cs="宋体"/>
                <w:sz w:val="24"/>
                <w:szCs w:val="24"/>
              </w:rPr>
            </w:pPr>
            <w:r>
              <w:rPr>
                <w:rFonts w:hint="eastAsia" w:ascii="宋体" w:hAnsi="宋体" w:eastAsia="宋体" w:cs="宋体"/>
                <w:sz w:val="24"/>
                <w:szCs w:val="24"/>
              </w:rPr>
              <w:t>头部宽度：60mm</w:t>
            </w:r>
          </w:p>
          <w:p>
            <w:pPr>
              <w:jc w:val="center"/>
              <w:rPr>
                <w:rFonts w:hint="eastAsia" w:ascii="宋体" w:hAnsi="宋体" w:eastAsia="宋体" w:cs="宋体"/>
                <w:sz w:val="24"/>
                <w:szCs w:val="24"/>
              </w:rPr>
            </w:pPr>
            <w:r>
              <w:rPr>
                <w:rFonts w:hint="eastAsia" w:ascii="宋体" w:hAnsi="宋体" w:eastAsia="宋体" w:cs="宋体"/>
                <w:sz w:val="24"/>
                <w:szCs w:val="24"/>
              </w:rPr>
              <w:t>钩身长：20cm</w:t>
            </w:r>
          </w:p>
          <w:p>
            <w:pPr>
              <w:jc w:val="center"/>
              <w:rPr>
                <w:rFonts w:hint="eastAsia" w:ascii="宋体" w:hAnsi="宋体" w:eastAsia="宋体" w:cs="宋体"/>
                <w:sz w:val="24"/>
                <w:szCs w:val="24"/>
              </w:rPr>
            </w:pPr>
            <w:r>
              <w:rPr>
                <w:rFonts w:hint="eastAsia" w:ascii="宋体" w:hAnsi="宋体" w:eastAsia="宋体" w:cs="宋体"/>
                <w:sz w:val="24"/>
                <w:szCs w:val="24"/>
              </w:rPr>
              <w:t>悬高：9cm</w:t>
            </w:r>
          </w:p>
          <w:p>
            <w:pPr>
              <w:jc w:val="center"/>
              <w:rPr>
                <w:rFonts w:hint="eastAsia" w:ascii="宋体" w:hAnsi="宋体" w:eastAsia="宋体" w:cs="宋体"/>
                <w:sz w:val="24"/>
                <w:szCs w:val="24"/>
              </w:rPr>
            </w:pPr>
            <w:r>
              <w:rPr>
                <w:rFonts w:hint="eastAsia" w:ascii="宋体" w:hAnsi="宋体" w:eastAsia="宋体" w:cs="宋体"/>
                <w:sz w:val="24"/>
                <w:szCs w:val="24"/>
              </w:rPr>
              <w:t>头端镂空</w:t>
            </w:r>
          </w:p>
          <w:p>
            <w:pPr>
              <w:jc w:val="center"/>
              <w:rPr>
                <w:rFonts w:hint="eastAsia" w:ascii="宋体" w:hAnsi="宋体" w:eastAsia="宋体" w:cs="宋体"/>
                <w:sz w:val="24"/>
                <w:szCs w:val="24"/>
              </w:rPr>
            </w:pP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头宽60，整个承托肌肉，形成完美的暴露间隙，使甲状腺腔镜手术具有良好的操作空间，大大降低手术难度，提高效率，可让手术时间接近传统开放手术。拉钩带有半埋式吸引管，不影响器械操作的同时可以有效吸引手术中能量器械产生的烟雾，术中无烟雾或水汽影响视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392" w:type="dxa"/>
          </w:tcPr>
          <w:p>
            <w:pPr>
              <w:jc w:val="center"/>
              <w:rPr>
                <w:rFonts w:hint="eastAsia" w:ascii="宋体" w:hAnsi="宋体" w:eastAsia="宋体" w:cs="宋体"/>
                <w:sz w:val="24"/>
                <w:szCs w:val="24"/>
              </w:rPr>
            </w:pPr>
            <w:r>
              <w:rPr>
                <w:rFonts w:hint="eastAsia" w:ascii="宋体" w:hAnsi="宋体" w:eastAsia="宋体" w:cs="宋体"/>
                <w:sz w:val="24"/>
                <w:szCs w:val="24"/>
              </w:rPr>
              <w:t>Ⅱ型甲状腺拉钩</w:t>
            </w:r>
          </w:p>
          <w:p>
            <w:pPr>
              <w:jc w:val="center"/>
              <w:rPr>
                <w:rFonts w:hint="eastAsia" w:ascii="宋体" w:hAnsi="宋体" w:eastAsia="宋体" w:cs="宋体"/>
                <w:sz w:val="24"/>
                <w:szCs w:val="24"/>
              </w:rPr>
            </w:pPr>
            <w:r>
              <w:rPr>
                <w:rFonts w:hint="eastAsia" w:ascii="宋体" w:hAnsi="宋体" w:eastAsia="宋体" w:cs="宋体"/>
                <w:sz w:val="24"/>
                <w:szCs w:val="24"/>
              </w:rPr>
              <w:t xml:space="preserve"> 15</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1314450" cy="1701800"/>
                  <wp:effectExtent l="0" t="0" r="1143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314450" cy="1701800"/>
                          </a:xfrm>
                          <a:prstGeom prst="rect">
                            <a:avLst/>
                          </a:prstGeom>
                          <a:noFill/>
                          <a:ln>
                            <a:noFill/>
                          </a:ln>
                        </pic:spPr>
                      </pic:pic>
                    </a:graphicData>
                  </a:graphic>
                </wp:inline>
              </w:drawing>
            </w:r>
          </w:p>
        </w:tc>
        <w:tc>
          <w:tcPr>
            <w:tcW w:w="3125" w:type="dxa"/>
          </w:tcPr>
          <w:p>
            <w:pPr>
              <w:jc w:val="center"/>
              <w:rPr>
                <w:rFonts w:hint="eastAsia" w:ascii="宋体" w:hAnsi="宋体" w:eastAsia="宋体" w:cs="宋体"/>
                <w:sz w:val="24"/>
                <w:szCs w:val="24"/>
              </w:rPr>
            </w:pPr>
            <w:r>
              <w:rPr>
                <w:rFonts w:hint="eastAsia" w:ascii="宋体" w:hAnsi="宋体" w:eastAsia="宋体" w:cs="宋体"/>
                <w:sz w:val="24"/>
                <w:szCs w:val="24"/>
              </w:rPr>
              <w:t>YY/T 0294.1-2016标准中的05Cr17Ni4Cu4Nb钢材料制造，组织拉钩进入人体部位表面粗糙度Ra值应≤0.8μm，具有不小于50N的弹性拉力。</w:t>
            </w:r>
          </w:p>
          <w:p>
            <w:pPr>
              <w:jc w:val="center"/>
              <w:rPr>
                <w:rFonts w:hint="eastAsia" w:ascii="宋体" w:hAnsi="宋体" w:eastAsia="宋体" w:cs="宋体"/>
                <w:sz w:val="24"/>
                <w:szCs w:val="24"/>
              </w:rPr>
            </w:pPr>
            <w:r>
              <w:rPr>
                <w:rFonts w:hint="eastAsia" w:ascii="宋体" w:hAnsi="宋体" w:eastAsia="宋体" w:cs="宋体"/>
                <w:sz w:val="24"/>
                <w:szCs w:val="24"/>
              </w:rPr>
              <w:t>长短钩身长度：6/17cm</w:t>
            </w:r>
          </w:p>
          <w:p>
            <w:pPr>
              <w:jc w:val="center"/>
              <w:rPr>
                <w:rFonts w:hint="eastAsia" w:ascii="宋体" w:hAnsi="宋体" w:eastAsia="宋体" w:cs="宋体"/>
                <w:sz w:val="24"/>
                <w:szCs w:val="24"/>
              </w:rPr>
            </w:pPr>
            <w:r>
              <w:rPr>
                <w:rFonts w:hint="eastAsia" w:ascii="宋体" w:hAnsi="宋体" w:eastAsia="宋体" w:cs="宋体"/>
                <w:sz w:val="24"/>
                <w:szCs w:val="24"/>
              </w:rPr>
              <w:t>钩头宽度15mm</w:t>
            </w:r>
          </w:p>
        </w:tc>
        <w:tc>
          <w:tcPr>
            <w:tcW w:w="3173" w:type="dxa"/>
          </w:tcPr>
          <w:p>
            <w:pPr>
              <w:jc w:val="center"/>
              <w:rPr>
                <w:rFonts w:hint="eastAsia" w:ascii="宋体" w:hAnsi="宋体" w:eastAsia="宋体" w:cs="宋体"/>
                <w:sz w:val="24"/>
                <w:szCs w:val="24"/>
              </w:rPr>
            </w:pPr>
            <w:r>
              <w:rPr>
                <w:rFonts w:hint="eastAsia" w:ascii="宋体" w:hAnsi="宋体" w:eastAsia="宋体" w:cs="宋体"/>
                <w:sz w:val="24"/>
                <w:szCs w:val="24"/>
              </w:rPr>
              <w:t>用于手术初始建立腋窝和甲状腺之间的腔道。长钩头设计异常手术的建腔。</w:t>
            </w:r>
          </w:p>
          <w:p>
            <w:pPr>
              <w:jc w:val="both"/>
              <w:rPr>
                <w:rFonts w:hint="eastAsia" w:ascii="宋体" w:hAnsi="宋体" w:eastAsia="宋体" w:cs="宋体"/>
                <w:sz w:val="24"/>
                <w:szCs w:val="24"/>
              </w:rPr>
            </w:pPr>
          </w:p>
        </w:tc>
      </w:tr>
    </w:tbl>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b/>
          <w:bCs/>
          <w:color w:val="auto"/>
          <w:sz w:val="24"/>
          <w:szCs w:val="24"/>
          <w:lang w:val="en-US" w:eastAsia="zh-CN"/>
        </w:rPr>
        <w:t xml:space="preserve"> </w:t>
      </w: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1年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年，终身维修。验收时出具原厂售后质保承诺书，质保期内每年巡检一次，并提交巡检记录。质保期内出现故障，24小时响应，响应后4小时上门服务。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医疗器械采购合同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联系人：彭耀华</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联系电话：18711825378</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val="0"/>
        <w:kinsoku/>
        <w:wordWrap/>
        <w:overflowPunct/>
        <w:topLinePunct w:val="0"/>
        <w:autoSpaceDE/>
        <w:autoSpaceDN/>
        <w:bidi w:val="0"/>
        <w:adjustRightInd/>
        <w:snapToGrid/>
        <w:spacing w:line="44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u w:val="none"/>
          <w:lang w:val="en-US" w:eastAsia="zh-CN"/>
        </w:rPr>
        <w:t>方式采</w:t>
      </w:r>
      <w:r>
        <w:rPr>
          <w:rFonts w:hint="eastAsia" w:ascii="宋体" w:hAnsi="宋体" w:eastAsia="宋体" w:cs="宋体"/>
          <w:color w:val="auto"/>
          <w:sz w:val="24"/>
          <w:szCs w:val="24"/>
          <w:lang w:val="en-US" w:eastAsia="zh-CN"/>
        </w:rPr>
        <w:t xml:space="preserve">购 </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甲状腺手术器械一批</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甲状腺手术器械一批</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项目名称、品牌、总价见下表，详细医疗器械名称、型号、分项价格、单价等见附件：</w:t>
      </w:r>
    </w:p>
    <w:tbl>
      <w:tblPr>
        <w:tblStyle w:val="9"/>
        <w:tblpPr w:leftFromText="180" w:rightFromText="180" w:vertAnchor="text" w:horzAnchor="page" w:tblpX="1885" w:tblpY="148"/>
        <w:tblOverlap w:val="never"/>
        <w:tblW w:w="8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3105"/>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41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项目</w:t>
            </w:r>
            <w:r>
              <w:rPr>
                <w:rFonts w:hint="eastAsia" w:ascii="宋体" w:hAnsi="宋体" w:eastAsia="宋体" w:cs="宋体"/>
                <w:color w:val="000000" w:themeColor="text1"/>
                <w:kern w:val="0"/>
                <w:sz w:val="24"/>
                <w:szCs w:val="24"/>
                <w14:textFill>
                  <w14:solidFill>
                    <w14:schemeClr w14:val="tx1"/>
                  </w14:solidFill>
                </w14:textFill>
              </w:rPr>
              <w:t>名称</w:t>
            </w:r>
          </w:p>
        </w:tc>
        <w:tc>
          <w:tcPr>
            <w:tcW w:w="310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2827"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kern w:val="0"/>
                <w:sz w:val="21"/>
                <w:szCs w:val="21"/>
                <w:lang w:val="en-US" w:eastAsia="zh-CN"/>
              </w:rPr>
              <w:t>暂定</w:t>
            </w:r>
            <w:r>
              <w:rPr>
                <w:rFonts w:hint="eastAsia" w:ascii="宋体" w:hAnsi="宋体" w:eastAsia="宋体" w:cs="宋体"/>
                <w:b w:val="0"/>
                <w:bCs w:val="0"/>
                <w:color w:val="000000"/>
                <w:kern w:val="0"/>
                <w:sz w:val="21"/>
                <w:szCs w:val="21"/>
                <w:lang w:eastAsia="zh-CN"/>
              </w:rPr>
              <w:t>总价</w:t>
            </w:r>
            <w:r>
              <w:rPr>
                <w:rFonts w:hint="eastAsia" w:ascii="宋体" w:hAnsi="宋体" w:eastAsia="宋体" w:cs="宋体"/>
                <w:b w:val="0"/>
                <w:bCs w:val="0"/>
                <w:color w:val="000000"/>
                <w:kern w:val="0"/>
                <w:sz w:val="21"/>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41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甲状腺手术器械一批</w:t>
            </w:r>
          </w:p>
        </w:tc>
        <w:tc>
          <w:tcPr>
            <w:tcW w:w="310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2827"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lang w:val="en-US" w:eastAsia="zh-CN"/>
        </w:rPr>
        <w:t>1.2 本合同约定价格为固定单价，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val="en-US" w:eastAsia="zh-CN"/>
          <w14:textFill>
            <w14:solidFill>
              <w14:schemeClr w14:val="tx1"/>
            </w14:solidFill>
          </w14:textFill>
        </w:rPr>
        <w:t>医疗器械</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eastAsia="宋体" w:cs="宋体"/>
          <w:color w:val="auto"/>
          <w:sz w:val="24"/>
          <w:szCs w:val="24"/>
          <w:lang w:val="en-US" w:eastAsia="zh-CN"/>
        </w:rPr>
        <w:t>自</w:t>
      </w:r>
      <w:r>
        <w:rPr>
          <w:rFonts w:hint="eastAsia" w:ascii="宋体" w:hAnsi="宋体" w:cs="宋体"/>
          <w:sz w:val="24"/>
          <w:szCs w:val="24"/>
        </w:rPr>
        <w:t>接到甲方通知</w:t>
      </w:r>
      <w:r>
        <w:rPr>
          <w:rFonts w:hint="eastAsia" w:ascii="宋体" w:hAnsi="宋体" w:cs="宋体"/>
          <w:sz w:val="24"/>
          <w:szCs w:val="24"/>
          <w:lang w:val="en-US" w:eastAsia="zh-CN"/>
        </w:rPr>
        <w:t>之日起</w:t>
      </w:r>
      <w:r>
        <w:rPr>
          <w:rFonts w:hint="eastAsia" w:ascii="宋体" w:hAnsi="宋体" w:cs="宋体"/>
          <w:sz w:val="24"/>
          <w:szCs w:val="24"/>
        </w:rPr>
        <w:t>15日内</w:t>
      </w:r>
      <w:r>
        <w:rPr>
          <w:rFonts w:hint="default" w:ascii="宋体" w:hAnsi="宋体" w:eastAsia="宋体" w:cs="宋体"/>
          <w:color w:val="auto"/>
          <w:sz w:val="24"/>
          <w:szCs w:val="24"/>
          <w:lang w:val="en-US" w:eastAsia="zh-CN"/>
        </w:rPr>
        <w:t>将</w:t>
      </w:r>
      <w:r>
        <w:rPr>
          <w:rFonts w:hint="eastAsia" w:ascii="宋体" w:hAnsi="宋体" w:eastAsia="宋体" w:cs="宋体"/>
          <w:color w:val="auto"/>
          <w:sz w:val="24"/>
          <w:szCs w:val="24"/>
          <w:lang w:val="en-US" w:eastAsia="zh-CN"/>
        </w:rPr>
        <w:t>医疗器械</w:t>
      </w:r>
      <w:r>
        <w:rPr>
          <w:rFonts w:hint="default" w:ascii="宋体" w:hAnsi="宋体" w:eastAsia="宋体" w:cs="宋体"/>
          <w:color w:val="auto"/>
          <w:sz w:val="24"/>
          <w:szCs w:val="24"/>
          <w:lang w:val="en-US" w:eastAsia="zh-CN"/>
        </w:rPr>
        <w:t>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sz w:val="24"/>
          <w:szCs w:val="24"/>
          <w:lang w:eastAsia="zh-CN"/>
        </w:rPr>
        <w:t>到货后</w:t>
      </w:r>
      <w:r>
        <w:rPr>
          <w:rFonts w:hint="eastAsia" w:ascii="宋体" w:hAnsi="宋体" w:cs="宋体"/>
          <w:sz w:val="24"/>
          <w:szCs w:val="24"/>
        </w:rPr>
        <w:t>1</w:t>
      </w:r>
      <w:r>
        <w:rPr>
          <w:rFonts w:hint="eastAsia" w:ascii="宋体" w:hAnsi="宋体" w:cs="宋体"/>
          <w:sz w:val="24"/>
          <w:szCs w:val="24"/>
          <w:lang w:val="en-US" w:eastAsia="zh-CN"/>
        </w:rPr>
        <w:t>日内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医疗器械</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auto"/>
          <w:sz w:val="24"/>
          <w:szCs w:val="24"/>
          <w:lang w:val="en-US" w:eastAsia="zh-CN"/>
        </w:rPr>
        <w:t>医疗器械</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质量标准：乙方提供医疗器械的质量、安装应符合或优于国家标准；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如响应文件中的技术参数和质量标准高于国家标准，则医疗器械的技术参数和质量标准以响应文件为准。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医疗器械运至指定交货地点后，应通知甲方，并向甲方提供厂家标准资料文件（进口医疗器械需提供真实有效的海关报关单，其他医疗器械需提供产品合格证）和原厂售后质保承诺书。甲方自接到乙方通知之日起7日内组织人员对医疗器械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医疗器械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医疗器械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包装要求：乙方提供的医疗器械必须为原厂包装，外包装到货时应保证完好无损，否则甲方有权拒绝收货，由此造成的延期交货违约责任和一切经济损失全部由乙方承担。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本合同医疗器械质保期为</w:t>
      </w:r>
      <w:r>
        <w:rPr>
          <w:rFonts w:hint="eastAsia" w:ascii="宋体" w:hAnsi="宋体" w:eastAsia="宋体" w:cs="宋体"/>
          <w:color w:val="auto"/>
          <w:sz w:val="24"/>
          <w:szCs w:val="24"/>
          <w:u w:val="single"/>
          <w:lang w:val="en-US" w:eastAsia="zh-CN"/>
        </w:rPr>
        <w:t xml:space="preserve"> 1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FF0000"/>
          <w:sz w:val="24"/>
          <w:szCs w:val="24"/>
          <w:highlight w:val="none"/>
          <w:u w:val="single"/>
          <w:lang w:val="en-US" w:eastAsia="zh-CN"/>
        </w:rPr>
      </w:pPr>
      <w:r>
        <w:rPr>
          <w:rFonts w:hint="eastAsia" w:ascii="宋体" w:hAnsi="宋体" w:eastAsia="宋体" w:cs="宋体"/>
          <w:b/>
          <w:bCs/>
          <w:color w:val="FF0000"/>
          <w:sz w:val="24"/>
          <w:szCs w:val="24"/>
          <w:highlight w:val="none"/>
          <w:u w:val="single"/>
          <w:lang w:val="en-US" w:eastAsia="zh-CN"/>
        </w:rPr>
        <w:t xml:space="preserve">5.2 </w:t>
      </w:r>
      <w:r>
        <w:rPr>
          <w:rFonts w:hint="eastAsia" w:ascii="宋体" w:hAnsi="宋体" w:eastAsia="宋体" w:cs="宋体"/>
          <w:b/>
          <w:bCs/>
          <w:color w:val="FF0000"/>
          <w:sz w:val="24"/>
          <w:highlight w:val="none"/>
          <w:u w:val="single"/>
        </w:rPr>
        <w:t>乙方在质保期内免费提供更换、保养、咨询等服务。</w:t>
      </w:r>
      <w:r>
        <w:rPr>
          <w:rFonts w:hint="eastAsia" w:ascii="宋体" w:hAnsi="宋体" w:eastAsia="宋体" w:cs="宋体"/>
          <w:b/>
          <w:bCs/>
          <w:color w:val="FF0000"/>
          <w:sz w:val="24"/>
          <w:szCs w:val="24"/>
          <w:highlight w:val="none"/>
          <w:u w:val="single"/>
          <w:lang w:val="en-US" w:eastAsia="zh-CN"/>
        </w:rPr>
        <w:t>如医疗器械在</w:t>
      </w:r>
      <w:r>
        <w:rPr>
          <w:rFonts w:hint="eastAsia" w:ascii="宋体" w:hAnsi="宋体" w:eastAsia="宋体" w:cs="宋体"/>
          <w:b/>
          <w:bCs/>
          <w:color w:val="FF0000"/>
          <w:sz w:val="24"/>
          <w:highlight w:val="none"/>
          <w:u w:val="single"/>
        </w:rPr>
        <w:t>质</w:t>
      </w:r>
      <w:r>
        <w:rPr>
          <w:rFonts w:hint="eastAsia" w:ascii="宋体" w:hAnsi="宋体" w:eastAsia="宋体" w:cs="宋体"/>
          <w:b/>
          <w:bCs/>
          <w:color w:val="FF0000"/>
          <w:sz w:val="24"/>
          <w:szCs w:val="24"/>
          <w:highlight w:val="none"/>
          <w:u w:val="single"/>
          <w:lang w:val="en-US" w:eastAsia="zh-CN"/>
        </w:rPr>
        <w:t>保期内出现质量问题，乙方应在接到甲方通知（包括电话通知）后24小时内响应，响应后4小时上门服务并更换全新医疗器械，相关费用由乙方承担。如乙方不及时履行质保义务，甲方有权从第三方采购相应医疗器械，由此产生的相关费用，甲方有权在支付价款中予以扣除或要求乙方支付对应价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质保期内，乙方每年至少对医疗器械进行一次巡检并向甲方提交巡检记录。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质保期届满后，如医疗器械出现问题，乙方应在接到甲方通知（包括电话通知）后24小时内响应，响应后4小时上门服务，相关费用由甲方承担。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6.1 甲乙双方在本合同医疗器械经总体验收合格之日起</w:t>
      </w:r>
      <w:r>
        <w:rPr>
          <w:rFonts w:hint="eastAsia" w:ascii="宋体" w:hAnsi="宋体" w:eastAsia="宋体" w:cs="宋体"/>
          <w:color w:val="FF0000"/>
          <w:sz w:val="24"/>
          <w:szCs w:val="24"/>
          <w:highlight w:val="none"/>
          <w:u w:val="single"/>
          <w:lang w:val="en-US" w:eastAsia="zh-CN"/>
        </w:rPr>
        <w:t xml:space="preserve">   </w:t>
      </w:r>
      <w:r>
        <w:rPr>
          <w:rFonts w:hint="eastAsia" w:ascii="宋体" w:hAnsi="宋体" w:eastAsia="宋体" w:cs="宋体"/>
          <w:color w:val="FF0000"/>
          <w:sz w:val="24"/>
          <w:szCs w:val="24"/>
          <w:highlight w:val="none"/>
          <w:lang w:val="en-US" w:eastAsia="zh-CN"/>
        </w:rPr>
        <w:t>日内根据验收报告单内容据实结算。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6.2 甲方通过银行转账方式向乙方指定银行账户支付结算价款：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FF0000"/>
          <w:sz w:val="24"/>
          <w:szCs w:val="24"/>
          <w:highlight w:val="none"/>
          <w:lang w:val="en-US" w:eastAsia="zh-CN"/>
        </w:rPr>
        <w:t>在双方结算确认之日起</w:t>
      </w:r>
      <w:r>
        <w:rPr>
          <w:rFonts w:hint="eastAsia" w:ascii="宋体" w:hAnsi="宋体" w:eastAsia="宋体" w:cs="宋体"/>
          <w:color w:val="000000" w:themeColor="text1"/>
          <w:sz w:val="24"/>
          <w:szCs w:val="24"/>
          <w:highlight w:val="none"/>
          <w:lang w:val="en-US" w:eastAsia="zh-CN"/>
          <w14:textFill>
            <w14:solidFill>
              <w14:schemeClr w14:val="tx1"/>
            </w14:solidFill>
          </w14:textFill>
        </w:rPr>
        <w:t>4个月内，向乙方支付</w:t>
      </w:r>
      <w:r>
        <w:rPr>
          <w:rFonts w:hint="eastAsia" w:ascii="宋体" w:hAnsi="宋体" w:eastAsia="宋体" w:cs="宋体"/>
          <w:color w:val="FF0000"/>
          <w:sz w:val="24"/>
          <w:szCs w:val="24"/>
          <w:highlight w:val="none"/>
          <w:u w:val="none"/>
          <w:lang w:val="en-US" w:eastAsia="zh-CN"/>
        </w:rPr>
        <w:t>结算</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6.4 乙方应在甲方首次付款前，向甲方提供以乙方自己名义开具的与本合同</w:t>
      </w:r>
      <w:r>
        <w:rPr>
          <w:rFonts w:hint="eastAsia" w:ascii="宋体" w:hAnsi="宋体" w:eastAsia="宋体" w:cs="宋体"/>
          <w:color w:val="FF0000"/>
          <w:sz w:val="24"/>
          <w:szCs w:val="24"/>
          <w:highlight w:val="none"/>
          <w:u w:val="none"/>
          <w:lang w:val="en-US" w:eastAsia="zh-CN"/>
        </w:rPr>
        <w:t>结算总价款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本合同医疗器械毁损、丢失的风险自甲方在总体验收报告单上签字确认合格后转移给甲方，此前医疗器械的一切风险均由乙方承担。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highlight w:val="none"/>
          <w:lang w:val="en-US" w:eastAsia="zh-CN"/>
        </w:rPr>
        <w:t xml:space="preserve">7.3 </w:t>
      </w:r>
      <w:r>
        <w:rPr>
          <w:rFonts w:hint="eastAsia" w:ascii="宋体" w:hAnsi="宋体" w:eastAsia="宋体" w:cs="宋体"/>
          <w:color w:val="FF0000"/>
          <w:sz w:val="24"/>
          <w:szCs w:val="24"/>
          <w:lang w:val="en-US" w:eastAsia="zh-CN"/>
        </w:rPr>
        <w:t>医疗器械有效期内，因医疗器械质量问题产生的风险均由乙方承担。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7.4 如甲方因乙方医疗器械、质保服务等原因涉及纠纷、诉讼或被处以行政处罚，由乙方承担甲方因纠纷、诉讼、罚款等造成的全部经济损失。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auto"/>
          <w:sz w:val="24"/>
          <w:szCs w:val="24"/>
          <w:u w:val="single"/>
          <w:lang w:val="en-US" w:eastAsia="zh-CN"/>
        </w:rPr>
        <w:t>彭耀华</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auto"/>
          <w:sz w:val="24"/>
          <w:szCs w:val="24"/>
          <w:u w:val="single"/>
          <w:lang w:val="en-US" w:eastAsia="zh-CN"/>
        </w:rPr>
        <w:t xml:space="preserve">18711825378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医疗器械，经书面通知乙方后可以提前终止本合同；如甲方因运营需要等原因不需要购买本合同部分医疗器械，不需要购买的部分自动从采购内容中剔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val="en-US" w:eastAsia="zh-CN"/>
          <w14:textFill>
            <w14:solidFill>
              <w14:schemeClr w14:val="tx1"/>
            </w14:solidFill>
          </w14:textFill>
        </w:rPr>
        <w:t>医疗器械</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医疗器械</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本合同约定总价款30%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；响应文件；采购文件；其他与本合同有关的资料。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eastAsiaTheme="minorEastAsia"/>
          <w:color w:val="000000" w:themeColor="text1"/>
          <w:highlight w:val="none"/>
          <w:lang w:eastAsia="zh-CN"/>
          <w14:textFill>
            <w14:solidFill>
              <w14:schemeClr w14:val="tx1"/>
            </w14:solidFill>
          </w14:textFill>
        </w:rPr>
      </w:pP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5305" cy="7988935"/>
            <wp:effectExtent l="0" t="0" r="4445" b="12065"/>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12"/>
                    <a:stretch>
                      <a:fillRect/>
                    </a:stretch>
                  </pic:blipFill>
                  <pic:spPr>
                    <a:xfrm>
                      <a:off x="0" y="0"/>
                      <a:ext cx="5615305" cy="7988935"/>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10225" cy="8025130"/>
            <wp:effectExtent l="0" t="0" r="9525" b="13970"/>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1"/>
                    </pic:cNvPicPr>
                  </pic:nvPicPr>
                  <pic:blipFill>
                    <a:blip r:embed="rId13"/>
                    <a:stretch>
                      <a:fillRect/>
                    </a:stretch>
                  </pic:blipFill>
                  <pic:spPr>
                    <a:xfrm>
                      <a:off x="0" y="0"/>
                      <a:ext cx="5610225" cy="802513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4510" cy="7904480"/>
            <wp:effectExtent l="0" t="0" r="15240" b="1270"/>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14"/>
                    <a:stretch>
                      <a:fillRect/>
                    </a:stretch>
                  </pic:blipFill>
                  <pic:spPr>
                    <a:xfrm>
                      <a:off x="0" y="0"/>
                      <a:ext cx="5604510" cy="7904480"/>
                    </a:xfrm>
                    <a:prstGeom prst="rect">
                      <a:avLst/>
                    </a:prstGeom>
                  </pic:spPr>
                </pic:pic>
              </a:graphicData>
            </a:graphic>
          </wp:inline>
        </w:drawing>
      </w:r>
      <w:r>
        <w:rPr>
          <w:rFonts w:hint="eastAsia" w:eastAsiaTheme="minorEastAsia"/>
          <w:color w:val="000000" w:themeColor="text1"/>
          <w:highlight w:val="none"/>
          <w:lang w:eastAsia="zh-CN"/>
          <w14:textFill>
            <w14:solidFill>
              <w14:schemeClr w14:val="tx1"/>
            </w14:solidFill>
          </w14:textFill>
        </w:rPr>
        <w:drawing>
          <wp:inline distT="0" distB="0" distL="114300" distR="114300">
            <wp:extent cx="5607050" cy="7912735"/>
            <wp:effectExtent l="0" t="0" r="12700" b="1206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5"/>
                    <a:stretch>
                      <a:fillRect/>
                    </a:stretch>
                  </pic:blipFill>
                  <pic:spPr>
                    <a:xfrm>
                      <a:off x="0" y="0"/>
                      <a:ext cx="5607050" cy="79127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keepNext w:val="0"/>
        <w:keepLines w:val="0"/>
        <w:pageBreakBefore w:val="0"/>
        <w:widowControl w:val="0"/>
        <w:kinsoku/>
        <w:wordWrap/>
        <w:overflowPunct/>
        <w:topLinePunct w:val="0"/>
        <w:autoSpaceDE/>
        <w:autoSpaceDN/>
        <w:bidi w:val="0"/>
        <w:adjustRightInd/>
        <w:snapToGrid/>
        <w:spacing w:line="480" w:lineRule="exact"/>
        <w:textAlignment w:val="auto"/>
      </w:pPr>
    </w:p>
    <w:p>
      <w:pPr>
        <w:pStyle w:val="15"/>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D1DDB33C"/>
    <w:multiLevelType w:val="singleLevel"/>
    <w:tmpl w:val="D1DDB33C"/>
    <w:lvl w:ilvl="0" w:tentative="0">
      <w:start w:val="2"/>
      <w:numFmt w:val="chineseCounting"/>
      <w:suff w:val="nothing"/>
      <w:lvlText w:val="%1、"/>
      <w:lvlJc w:val="left"/>
      <w:rPr>
        <w:rFonts w:hint="eastAsia"/>
      </w:rPr>
    </w:lvl>
  </w:abstractNum>
  <w:abstractNum w:abstractNumId="2">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F022D"/>
    <w:rsid w:val="00AE556A"/>
    <w:rsid w:val="04653F41"/>
    <w:rsid w:val="04B72FC8"/>
    <w:rsid w:val="050C12EC"/>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1005321"/>
    <w:rsid w:val="21091EFA"/>
    <w:rsid w:val="28E81B29"/>
    <w:rsid w:val="29B45A41"/>
    <w:rsid w:val="2C0A2E19"/>
    <w:rsid w:val="2C7642D0"/>
    <w:rsid w:val="2DD77C64"/>
    <w:rsid w:val="2DDA1E78"/>
    <w:rsid w:val="2DE00B8C"/>
    <w:rsid w:val="2EAC037F"/>
    <w:rsid w:val="2EB67A5C"/>
    <w:rsid w:val="302741D2"/>
    <w:rsid w:val="308B184D"/>
    <w:rsid w:val="31163FB9"/>
    <w:rsid w:val="33057DBD"/>
    <w:rsid w:val="33384C93"/>
    <w:rsid w:val="340F06E9"/>
    <w:rsid w:val="372F7378"/>
    <w:rsid w:val="397348CD"/>
    <w:rsid w:val="3B3B544D"/>
    <w:rsid w:val="3B654F2B"/>
    <w:rsid w:val="3BB72BAE"/>
    <w:rsid w:val="3C8A61A4"/>
    <w:rsid w:val="3D5E17FF"/>
    <w:rsid w:val="3E1F0DA4"/>
    <w:rsid w:val="3E584E51"/>
    <w:rsid w:val="3EBE1ADE"/>
    <w:rsid w:val="414D7889"/>
    <w:rsid w:val="418A797B"/>
    <w:rsid w:val="41BB0BAE"/>
    <w:rsid w:val="42234850"/>
    <w:rsid w:val="429A4992"/>
    <w:rsid w:val="435B161D"/>
    <w:rsid w:val="43B25DAC"/>
    <w:rsid w:val="45D569C3"/>
    <w:rsid w:val="49022783"/>
    <w:rsid w:val="4ACF0757"/>
    <w:rsid w:val="4B7F39F4"/>
    <w:rsid w:val="4BAE646F"/>
    <w:rsid w:val="4CAC1559"/>
    <w:rsid w:val="4CB67451"/>
    <w:rsid w:val="4D754257"/>
    <w:rsid w:val="4DCD6AB3"/>
    <w:rsid w:val="50216DCD"/>
    <w:rsid w:val="50540C20"/>
    <w:rsid w:val="51AC28BD"/>
    <w:rsid w:val="54F52CD6"/>
    <w:rsid w:val="56ED1FE4"/>
    <w:rsid w:val="59C74B1F"/>
    <w:rsid w:val="5A1C62A0"/>
    <w:rsid w:val="5DFF3274"/>
    <w:rsid w:val="611B6B1B"/>
    <w:rsid w:val="64133D6A"/>
    <w:rsid w:val="666A4A5D"/>
    <w:rsid w:val="678E4F5D"/>
    <w:rsid w:val="680E122C"/>
    <w:rsid w:val="6D383CC2"/>
    <w:rsid w:val="6DE375E4"/>
    <w:rsid w:val="6E2D2A8D"/>
    <w:rsid w:val="6E8E5287"/>
    <w:rsid w:val="6FBE332C"/>
    <w:rsid w:val="70BA1B14"/>
    <w:rsid w:val="71554367"/>
    <w:rsid w:val="71584067"/>
    <w:rsid w:val="735201FF"/>
    <w:rsid w:val="737B50A4"/>
    <w:rsid w:val="73F40E72"/>
    <w:rsid w:val="74566F5C"/>
    <w:rsid w:val="749B66A4"/>
    <w:rsid w:val="74A1770D"/>
    <w:rsid w:val="750117A8"/>
    <w:rsid w:val="755B2270"/>
    <w:rsid w:val="757347B4"/>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5"/>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8840</Words>
  <Characters>9414</Characters>
  <Lines>0</Lines>
  <Paragraphs>0</Paragraphs>
  <TotalTime>0</TotalTime>
  <ScaleCrop>false</ScaleCrop>
  <LinksUpToDate>false</LinksUpToDate>
  <CharactersWithSpaces>10362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2024-05-28T01:12:01Z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