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（吞咽障碍电子喉镜评估诊断系统医院公开挂网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吞咽障碍电子喉镜评估诊断系统</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吞咽障碍电子喉镜评估诊断系统</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8421"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1189"/>
        <w:gridCol w:w="2280"/>
        <w:gridCol w:w="1872"/>
        <w:gridCol w:w="1460"/>
        <w:gridCol w:w="162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81"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吞咽障碍电子喉镜评估诊断系统</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25.8</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1、镜体</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 前端内置LED光源，无外接光源线，光源寿命≥30000小时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 枪型手柄，插入部外径：＜3.9mm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 弯曲角度：向上≥160°，向下≥160°（带锁定功能）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 插入部可左、右转向分别为≥110°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 有效工作距离：≤ 310mm;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 视野方向：0°;视野角：≥85°;</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 景深范围：≥6-60 mm;</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 主机控制器：一键开/关，自动白平衡调节，自动曝光调节，无其它手动调节按键;</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 电子鼻咽喉镜2根，可满足院感消毒、急诊需求使用</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2.吞咽障碍评估诊断系统(FEES)远端操控和图文存储评估系统</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 电子镜手柄具备直接控制图像采集和视频录制的功能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 具有远程控制按钮，可控制视频的开始和停止功能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 内置专业吞咽障碍评估报告功能，快速实现吞咽障碍残留等级评估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 具有视频和图像在电脑上实时显示的功能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 具有吞咽障碍快速评估与渗漏、误吸等级评估报告</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 具有优化视频信号功能，包括亮度，锐度，对比度</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2.7主机与喉镜可一体便携，实现便携快速床旁检查</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3、主机</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3.1、主机屏幕、功能按键，采用触摸屏按键设计。</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3.2、分辨率：≥1920×1080P</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3.3、具有一键白平衡功能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3.4、色彩还原：不低于三级</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4、冷光源</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4.1主机屏幕、功能按键，采用触摸屏按键设计。</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4.2照明方式：LED光源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4.3支持白光模式和特殊光成像模式(早癌筛查功能）</w:t>
      </w:r>
    </w:p>
    <w:p>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4.4具有两种调光模式：自动/手动亮度可选，其中手动模式调光级别≥16级</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 xml:space="preserve">1、电子鼻咽喉镜2 根 </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 xml:space="preserve">2、摄像控制主机 1 套 </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 xml:space="preserve">3、测漏仪 1 个 </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 xml:space="preserve">4、电子镜远端操控系统 1 套 </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 xml:space="preserve">5、FEES工作站电脑 1 套 </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 xml:space="preserve">6、FEES吞咽障碍评估工作站 1 套  </w:t>
      </w:r>
    </w:p>
    <w:p>
      <w:pPr>
        <w:spacing w:line="360" w:lineRule="auto"/>
        <w:ind w:firstLine="480" w:firstLineChars="200"/>
        <w:rPr>
          <w:rFonts w:hint="default" w:asciiTheme="minorEastAsia" w:hAnsiTheme="minorEastAsia" w:eastAsiaTheme="minorEastAsia" w:cstheme="minorEastAsia"/>
          <w:b w:val="0"/>
          <w:bCs/>
          <w:color w:val="auto"/>
          <w:kern w:val="0"/>
          <w:sz w:val="24"/>
          <w:szCs w:val="24"/>
          <w:lang w:val="en-US" w:eastAsia="zh-CN" w:bidi="ar-SA"/>
        </w:rPr>
      </w:pPr>
      <w:r>
        <w:rPr>
          <w:rFonts w:hint="default" w:asciiTheme="minorEastAsia" w:hAnsiTheme="minorEastAsia" w:eastAsiaTheme="minorEastAsia" w:cstheme="minorEastAsia"/>
          <w:b w:val="0"/>
          <w:bCs/>
          <w:color w:val="auto"/>
          <w:kern w:val="0"/>
          <w:sz w:val="24"/>
          <w:szCs w:val="24"/>
          <w:lang w:val="en-US" w:eastAsia="zh-CN" w:bidi="ar-SA"/>
        </w:rPr>
        <w:t xml:space="preserve">7、彩色打印机 1 台 </w:t>
      </w:r>
    </w:p>
    <w:p>
      <w:pPr>
        <w:spacing w:line="360" w:lineRule="auto"/>
        <w:ind w:firstLine="480" w:firstLineChars="200"/>
        <w:rPr>
          <w:rFonts w:hint="default"/>
          <w:lang w:val="en-US" w:eastAsia="zh-CN"/>
        </w:rPr>
      </w:pPr>
      <w:r>
        <w:rPr>
          <w:rFonts w:hint="default" w:asciiTheme="minorEastAsia" w:hAnsiTheme="minorEastAsia" w:eastAsiaTheme="minorEastAsia" w:cstheme="minorEastAsia"/>
          <w:b w:val="0"/>
          <w:bCs/>
          <w:color w:val="auto"/>
          <w:kern w:val="0"/>
          <w:sz w:val="24"/>
          <w:szCs w:val="24"/>
          <w:lang w:val="en-US" w:eastAsia="zh-CN" w:bidi="ar-SA"/>
        </w:rPr>
        <w:t>8、快速消毒方案 5 盒</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年后支付10%余款给乙方。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2、“三证合一”或“五证合一”营业执照，医疗器械经营许可证或医疗器械经营备案凭证（按法律规定提供证件）、生产厂家营业执照、生产许可证（按法律规定需提供）、产品注册证（按法律规定需提供）；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吞咽障碍电子喉镜评估诊断系统</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吞咽障碍电子喉镜评估诊断系统</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吞咽障碍电子喉镜评估诊断系统</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bookmarkStart w:id="4" w:name="_GoBack"/>
      <w:bookmarkEnd w:id="4"/>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676900" cy="8075930"/>
            <wp:effectExtent l="0" t="0" r="0" b="127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76900" cy="8075930"/>
                    </a:xfrm>
                    <a:prstGeom prst="rect">
                      <a:avLst/>
                    </a:prstGeom>
                  </pic:spPr>
                </pic:pic>
              </a:graphicData>
            </a:graphic>
          </wp:inline>
        </w:drawing>
      </w:r>
      <w:r>
        <w:rPr>
          <w:rFonts w:hint="eastAsia" w:eastAsiaTheme="minorEastAsia"/>
          <w:lang w:eastAsia="zh-CN"/>
        </w:rPr>
        <w:drawing>
          <wp:inline distT="0" distB="0" distL="114300" distR="114300">
            <wp:extent cx="5730240" cy="8197215"/>
            <wp:effectExtent l="0" t="0" r="381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730240" cy="8197215"/>
                    </a:xfrm>
                    <a:prstGeom prst="rect">
                      <a:avLst/>
                    </a:prstGeom>
                  </pic:spPr>
                </pic:pic>
              </a:graphicData>
            </a:graphic>
          </wp:inline>
        </w:drawing>
      </w:r>
      <w:r>
        <w:rPr>
          <w:rFonts w:hint="eastAsia" w:eastAsiaTheme="minorEastAsia"/>
          <w:lang w:eastAsia="zh-CN"/>
        </w:rPr>
        <w:drawing>
          <wp:inline distT="0" distB="0" distL="114300" distR="114300">
            <wp:extent cx="5754370" cy="8116570"/>
            <wp:effectExtent l="0" t="0" r="17780" b="1778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54370" cy="8116570"/>
                    </a:xfrm>
                    <a:prstGeom prst="rect">
                      <a:avLst/>
                    </a:prstGeom>
                  </pic:spPr>
                </pic:pic>
              </a:graphicData>
            </a:graphic>
          </wp:inline>
        </w:drawing>
      </w:r>
      <w:r>
        <w:rPr>
          <w:rFonts w:hint="eastAsia" w:eastAsiaTheme="minorEastAsia"/>
          <w:lang w:eastAsia="zh-CN"/>
        </w:rPr>
        <w:drawing>
          <wp:inline distT="0" distB="0" distL="114300" distR="114300">
            <wp:extent cx="5757545" cy="8124825"/>
            <wp:effectExtent l="0" t="0" r="14605" b="952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57545" cy="812482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5D45847"/>
    <w:rsid w:val="06E91EC4"/>
    <w:rsid w:val="0A3F4F3C"/>
    <w:rsid w:val="0E331420"/>
    <w:rsid w:val="0EDD1643"/>
    <w:rsid w:val="0FB9029C"/>
    <w:rsid w:val="10914EF9"/>
    <w:rsid w:val="12080B62"/>
    <w:rsid w:val="12994AC5"/>
    <w:rsid w:val="129F447F"/>
    <w:rsid w:val="12C86253"/>
    <w:rsid w:val="13477635"/>
    <w:rsid w:val="15060AC8"/>
    <w:rsid w:val="15675A4C"/>
    <w:rsid w:val="17F91BB8"/>
    <w:rsid w:val="1AF56B46"/>
    <w:rsid w:val="1E4D28AF"/>
    <w:rsid w:val="1E79119D"/>
    <w:rsid w:val="1F334F58"/>
    <w:rsid w:val="1F796B24"/>
    <w:rsid w:val="1FE73549"/>
    <w:rsid w:val="2038045E"/>
    <w:rsid w:val="20B41DA7"/>
    <w:rsid w:val="265F7EDE"/>
    <w:rsid w:val="272B6E6C"/>
    <w:rsid w:val="27CB1722"/>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8187649"/>
    <w:rsid w:val="397348CD"/>
    <w:rsid w:val="3B3B544D"/>
    <w:rsid w:val="3B654F2B"/>
    <w:rsid w:val="3BB72BAE"/>
    <w:rsid w:val="3C07563A"/>
    <w:rsid w:val="3C8A61A4"/>
    <w:rsid w:val="3D5E17FF"/>
    <w:rsid w:val="3E1F0DA4"/>
    <w:rsid w:val="3E584E51"/>
    <w:rsid w:val="3EBE1ADE"/>
    <w:rsid w:val="414D7889"/>
    <w:rsid w:val="41BB0BAE"/>
    <w:rsid w:val="429A4992"/>
    <w:rsid w:val="435B161D"/>
    <w:rsid w:val="43B25DAC"/>
    <w:rsid w:val="44771DFD"/>
    <w:rsid w:val="45D569C3"/>
    <w:rsid w:val="45DB7A76"/>
    <w:rsid w:val="4AEE1A11"/>
    <w:rsid w:val="4B7F39F4"/>
    <w:rsid w:val="4BAE646F"/>
    <w:rsid w:val="4CAC1559"/>
    <w:rsid w:val="4D754257"/>
    <w:rsid w:val="4DCD6AB3"/>
    <w:rsid w:val="4DE60D71"/>
    <w:rsid w:val="50216DCD"/>
    <w:rsid w:val="50540C20"/>
    <w:rsid w:val="51AC28BD"/>
    <w:rsid w:val="583A4BD7"/>
    <w:rsid w:val="590275C7"/>
    <w:rsid w:val="59C74B1F"/>
    <w:rsid w:val="5EA6491D"/>
    <w:rsid w:val="611B6B1B"/>
    <w:rsid w:val="62C222C2"/>
    <w:rsid w:val="64133D6A"/>
    <w:rsid w:val="678E4F5D"/>
    <w:rsid w:val="680E122C"/>
    <w:rsid w:val="6C3E0CBE"/>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7753</Words>
  <Characters>8103</Characters>
  <Lines>0</Lines>
  <Paragraphs>0</Paragraphs>
  <TotalTime>0</TotalTime>
  <ScaleCrop>false</ScaleCrop>
  <LinksUpToDate>false</LinksUpToDate>
  <CharactersWithSpaces>9088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2024-05-30T01:50:18Z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