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snapToGrid w:val="0"/>
        <w:jc w:val="center"/>
        <w:rPr>
          <w:rFonts w:hint="eastAsia" w:ascii="Arial" w:hAnsi="Arial" w:eastAsia="方正小标宋简体" w:cs="Arial"/>
          <w:color w:val="auto"/>
          <w:sz w:val="72"/>
          <w:szCs w:val="72"/>
          <w:lang w:eastAsia="zh-CN"/>
        </w:rPr>
      </w:pPr>
      <w:bookmarkStart w:id="0" w:name="_Toc16523570"/>
    </w:p>
    <w:p>
      <w:pPr>
        <w:pStyle w:val="12"/>
        <w:tabs>
          <w:tab w:val="left" w:pos="312"/>
        </w:tabs>
        <w:snapToGrid w:val="0"/>
        <w:spacing w:line="288" w:lineRule="auto"/>
        <w:jc w:val="center"/>
        <w:rPr>
          <w:rFonts w:ascii="Arial" w:hAnsi="Arial" w:eastAsia="方正小标宋简体" w:cs="Arial"/>
          <w:sz w:val="72"/>
          <w:szCs w:val="72"/>
        </w:rPr>
      </w:pPr>
      <w:r>
        <w:rPr>
          <w:rFonts w:hint="eastAsia" w:ascii="Arial" w:hAnsi="Arial" w:eastAsia="方正小标宋简体" w:cs="Arial"/>
          <w:sz w:val="72"/>
          <w:szCs w:val="72"/>
        </w:rPr>
        <w:t>娄底市中心医院院内</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hint="eastAsia" w:ascii="Arial" w:hAnsi="Arial" w:eastAsia="方正小标宋简体" w:cs="Arial"/>
          <w:sz w:val="72"/>
          <w:szCs w:val="72"/>
        </w:rPr>
        <w:t>招</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ascii="Arial" w:hAnsi="Arial" w:eastAsia="方正小标宋简体" w:cs="Arial"/>
          <w:sz w:val="72"/>
          <w:szCs w:val="72"/>
        </w:rPr>
        <w:t>标</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ascii="Arial" w:hAnsi="Arial" w:eastAsia="方正小标宋简体" w:cs="Arial"/>
          <w:sz w:val="72"/>
          <w:szCs w:val="72"/>
        </w:rPr>
        <w:t>文</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36"/>
          <w:szCs w:val="36"/>
        </w:rPr>
      </w:pPr>
      <w:r>
        <w:rPr>
          <w:rFonts w:ascii="Arial" w:hAnsi="Arial" w:eastAsia="方正小标宋简体" w:cs="Arial"/>
          <w:sz w:val="72"/>
          <w:szCs w:val="72"/>
        </w:rPr>
        <w:t>件</w:t>
      </w:r>
    </w:p>
    <w:p>
      <w:pPr>
        <w:pStyle w:val="12"/>
        <w:snapToGrid w:val="0"/>
        <w:jc w:val="center"/>
        <w:rPr>
          <w:rFonts w:ascii="Arial" w:hAnsi="Arial" w:cs="Arial"/>
          <w:sz w:val="32"/>
          <w:szCs w:val="32"/>
        </w:rPr>
      </w:pPr>
    </w:p>
    <w:p>
      <w:pPr>
        <w:pStyle w:val="12"/>
        <w:snapToGrid w:val="0"/>
        <w:jc w:val="center"/>
        <w:rPr>
          <w:rFonts w:ascii="Arial" w:hAnsi="Arial" w:cs="Arial"/>
          <w:sz w:val="32"/>
          <w:szCs w:val="32"/>
        </w:rPr>
      </w:pPr>
    </w:p>
    <w:p>
      <w:pPr>
        <w:pStyle w:val="12"/>
        <w:snapToGrid w:val="0"/>
        <w:jc w:val="center"/>
        <w:rPr>
          <w:rFonts w:ascii="Arial" w:hAnsi="Arial" w:cs="Arial"/>
          <w:sz w:val="32"/>
          <w:szCs w:val="32"/>
        </w:rPr>
      </w:pPr>
    </w:p>
    <w:p>
      <w:pPr>
        <w:spacing w:line="360" w:lineRule="auto"/>
        <w:rPr>
          <w:rFonts w:hint="eastAsia"/>
          <w:bCs/>
          <w:sz w:val="32"/>
          <w:szCs w:val="3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娄底市中心医院设备科医疗器械招标文件</w:t>
      </w:r>
    </w:p>
    <w:p>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（脑电监测仪医院公开挂网</w:t>
      </w:r>
      <w:r>
        <w:rPr>
          <w:rFonts w:hint="eastAsia" w:ascii="Times New Roman" w:hAnsi="Times New Roman" w:eastAsia="宋体" w:cs="Times New Roman"/>
          <w:b/>
          <w:bCs/>
          <w:kern w:val="44"/>
          <w:sz w:val="32"/>
          <w:szCs w:val="32"/>
          <w:lang w:val="en-US" w:eastAsia="zh-CN" w:bidi="ar-SA"/>
        </w:rPr>
        <w:t>）</w:t>
      </w:r>
    </w:p>
    <w:p>
      <w:pPr>
        <w:spacing w:line="320" w:lineRule="exact"/>
        <w:jc w:val="left"/>
        <w:rPr>
          <w:sz w:val="24"/>
        </w:rPr>
      </w:pPr>
    </w:p>
    <w:p>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四</w:t>
      </w:r>
      <w:r>
        <w:rPr>
          <w:rFonts w:hint="eastAsia" w:ascii="宋体" w:hAnsi="宋体" w:cs="宋体"/>
          <w:bCs/>
          <w:sz w:val="32"/>
          <w:szCs w:val="32"/>
        </w:rPr>
        <w:t>年</w:t>
      </w:r>
      <w:r>
        <w:rPr>
          <w:rFonts w:hint="eastAsia" w:ascii="宋体" w:hAnsi="宋体" w:cs="宋体"/>
          <w:bCs/>
          <w:sz w:val="32"/>
          <w:szCs w:val="32"/>
          <w:lang w:eastAsia="zh-CN"/>
        </w:rPr>
        <w:t>七</w:t>
      </w:r>
      <w:r>
        <w:rPr>
          <w:rFonts w:hint="eastAsia" w:ascii="宋体" w:hAnsi="宋体" w:cs="宋体"/>
          <w:bCs/>
          <w:sz w:val="32"/>
          <w:szCs w:val="32"/>
        </w:rPr>
        <w:t>月</w:t>
      </w:r>
    </w:p>
    <w:p>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脑电监测仪</w:t>
      </w:r>
      <w:r>
        <w:rPr>
          <w:rFonts w:hint="eastAsia" w:asciiTheme="minorEastAsia" w:hAnsiTheme="minorEastAsia" w:eastAsiaTheme="minorEastAsia" w:cstheme="minorEastAsia"/>
          <w:bCs/>
          <w:color w:val="auto"/>
          <w:sz w:val="24"/>
          <w:szCs w:val="24"/>
          <w:lang w:val="en-US" w:eastAsia="zh-CN"/>
        </w:rPr>
        <w:t>项目进行院内挂网招标，将招标事项公告如下：</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脑电监测仪</w:t>
      </w:r>
      <w:r>
        <w:rPr>
          <w:rFonts w:hint="eastAsia" w:asciiTheme="minorEastAsia" w:hAnsiTheme="minorEastAsia" w:eastAsiaTheme="minorEastAsia" w:cstheme="minorEastAsia"/>
          <w:b w:val="0"/>
          <w:bCs/>
          <w:color w:val="auto"/>
          <w:sz w:val="24"/>
          <w:szCs w:val="24"/>
          <w:lang w:val="en-US" w:eastAsia="zh-CN"/>
        </w:rPr>
        <w:t>项目</w:t>
      </w:r>
    </w:p>
    <w:p>
      <w:pPr>
        <w:pStyle w:val="12"/>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w:t>
      </w:r>
      <w:r>
        <w:rPr>
          <w:rFonts w:hint="eastAsia" w:asciiTheme="minorEastAsia" w:hAnsiTheme="minorEastAsia" w:eastAsiaTheme="minorEastAsia" w:cstheme="minorEastAsia"/>
          <w:bCs/>
          <w:color w:val="auto"/>
          <w:sz w:val="24"/>
          <w:szCs w:val="24"/>
          <w:lang w:val="en-US" w:eastAsia="zh-CN"/>
        </w:rPr>
        <w:t>公开挂网，最低评标价法，在满足所有参数的条件下，报价最低者中标，如有多个并列最低价，则由并列最低价投标人再次报价，直至出现最低报价为止。</w:t>
      </w:r>
    </w:p>
    <w:bookmarkEnd w:id="0"/>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五、招标人地址和联系方法：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1、招标人名称：娄底市中心医院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3、招标人地址：娄底市长青中街51号</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1.2、资格评审时，投标人资格条件不符合国家有关规定或者招标文件要求的，或者拒不按照要求对投标文件进行澄清、说明或补正，或者其说明补正无法证明其为合格投标人的；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1.6、投标文件存在弄虚作假或者隐瞒事实，或者未按照招标文件要求如实提供有关情况和文件，以及证明资料且对投标人有利的，应当否决其投标。被列为中标候选人的，应当取消其中标候选人资格。</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2、有下列情形之一的，招标人将重新招标：</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pPr>
        <w:pStyle w:val="13"/>
        <w:rPr>
          <w:rFonts w:hint="eastAsia"/>
          <w:lang w:val="en-US" w:eastAsia="zh-CN"/>
        </w:rPr>
      </w:pPr>
    </w:p>
    <w:p>
      <w:pPr>
        <w:pStyle w:val="13"/>
        <w:jc w:val="both"/>
        <w:rPr>
          <w:rFonts w:hint="default"/>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pPr>
        <w:pStyle w:val="13"/>
        <w:rPr>
          <w:rFonts w:hint="eastAsia" w:ascii="宋体" w:hAnsi="宋体" w:cs="宋体"/>
          <w:b/>
          <w:bCs/>
          <w:color w:val="auto"/>
          <w:sz w:val="44"/>
          <w:szCs w:val="44"/>
          <w:lang w:val="en-US" w:eastAsia="zh-CN"/>
        </w:rPr>
      </w:pPr>
    </w:p>
    <w:p>
      <w:pPr>
        <w:pStyle w:val="5"/>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pStyle w:val="11"/>
        <w:rPr>
          <w:rFonts w:hint="eastAsia"/>
          <w:lang w:val="en-US" w:eastAsia="zh-CN"/>
        </w:rPr>
      </w:pPr>
    </w:p>
    <w:p>
      <w:pPr>
        <w:pStyle w:val="2"/>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9"/>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脑电监测仪</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24</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bidi="ar-SA"/>
              </w:rPr>
              <w:t>否</w:t>
            </w:r>
          </w:p>
        </w:tc>
      </w:tr>
    </w:tbl>
    <w:p>
      <w:pPr>
        <w:spacing w:line="360" w:lineRule="auto"/>
        <w:rPr>
          <w:rFonts w:hint="eastAsia" w:asciiTheme="minorEastAsia" w:hAnsiTheme="minorEastAsia" w:eastAsiaTheme="minorEastAsia" w:cstheme="minorEastAsia"/>
          <w:bCs/>
          <w:color w:val="auto"/>
          <w:kern w:val="0"/>
          <w:sz w:val="24"/>
          <w:szCs w:val="24"/>
          <w:lang w:val="en-US" w:eastAsia="zh-CN" w:bidi="ar-SA"/>
        </w:rPr>
      </w:pP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1、适用范围：用于医疗机构对患者脑电信号的采集、记录、处理。</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2、适用人群：新生儿，婴儿和儿童。</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3、产品组成：脑电监测仪由信号放大器、台车、摄像头、医用一体机、脑电监测</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组件和软件组成。</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4、主机技术性能要求：</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4.1、≥19英寸彩色触摸医用级显示屏，分辨率为FHD 1280 x 1024以上，且屏幕亮度自动调节，符合欧盟CE相关EN60601-1-2：2015及EN60601-1：2006标准要求，更安全、稳定、耐用，且抗干扰性更好；</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4.2、主机系统内存≥8G，固态硬盘≥128G，机械硬盘≥2T，可搭载WIN10等操作系统；</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4.3、一体机左右两侧各内置可充电锂离子电池，断电时，可向显示屏持续供电2h；</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5、放大器：</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5.1、放大器通道数为≥12通道；</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5.2、具有阻抗显示按钮，通过点位颜色显示阻抗状态;</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5.3、共模抑制比&gt;120 dB ; </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5.4、高频滤波：15、30、35、45、70、100、120、150、200、300、350、450、600、700、1000、2000、3000、5000、10000Hz；</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5.5、低频滤波：0.053、0.08、0.16、0.27、0.53、0.8、1.6、2.7、3.2、4.0、5.3、8.0、16、32、53、80、160、320、530 Hz；</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5.6、高频滤波和低频滤波均可关闭；</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5.7、放大器内置可充电锂离子电池，断电时，可持续供电≥45 min；</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6、台车：台车总承重≥180kg，稳定性更好，立柱内配置多孔电源插座，支持多个医疗设备的连接；</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7、主要功能：</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7.1、支持4/8/12导脑电（肌电）导联线；</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7.2、支持有线及无线连接，断开有线连接时会自动切换成无线通讯模式；</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7.3、脑电基本参数：噪声电平&lt; 1 μVp-p，采样频率可切换512 Hz、1024 Hz、2048 Hz三种，电压测量结果误差不超过±10%，aEEG趋势图和包络趋势图的误差≤15%；</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7.4、实时监测显示多种趋势图，包括振幅整合脑电图（aEEG）/总功率（TP）/爆发抑制比（BSR）/爆发间隔（IBI）/每分钟爆发次数（BPM） /包络趋势图（envelope）等，为患儿预后提供更多的重要数据信息；</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7.5、支持多种波形操作，包括波形测量/波形放大/波形图拷贝/波形同步回放/趋势分析等功能；</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7.6、可自动生成aEEG临床报告，并支持打印功能；</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7.7、具有夜视功能的高清摄像头，支持水平355°和垂直0°-90°旋转，照射距离最大可达20m，实时全方位的监测，便于医护人员查看患者状态，排除各种干扰造成的伪差，精准诊疗；</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7.8支持长时床旁连续监测，同屏采集处理EEG+aEEG+视频录像，并可手动标记临床事件，操作简单，受环境干扰少，判读更容易；</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7.9、支持阻抗实时监测，脑电数据采集过程中实时监测阻抗值大小，当电极脱落或阻抗过大时会显示提示信息；</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7.10、支持放大器开机自检，及多种声光报警功能；</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8、其他功能：</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8.1、可搭配亚低温治疗仪使用，配合治疗新生儿脑病；</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8.2、支持脑电数据回放；</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8.3、数据管理：支持患儿信息管理和脑电数据管理、支持数据传输及存储功能；</w:t>
      </w:r>
    </w:p>
    <w:p>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eastAsia="宋体" w:cs="宋体"/>
          <w:color w:val="auto"/>
          <w:sz w:val="24"/>
          <w:szCs w:val="24"/>
        </w:rPr>
        <w:t>1、运输、装卸、培训、安装调试：由中标人负责承担，最终通过使用科室、设备科及相关部门确认验收交付使用。</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2、交货时间：按</w:t>
      </w:r>
      <w:r>
        <w:rPr>
          <w:rFonts w:hint="eastAsia" w:ascii="宋体" w:hAnsi="宋体" w:cs="宋体"/>
          <w:color w:val="auto"/>
          <w:sz w:val="24"/>
          <w:szCs w:val="24"/>
          <w:lang w:val="en-US" w:eastAsia="zh-CN"/>
        </w:rPr>
        <w:t>合同约定的日期交货。</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、交货地点：娄底市中心医院</w:t>
      </w:r>
      <w:r>
        <w:rPr>
          <w:rFonts w:hint="eastAsia" w:ascii="宋体" w:hAnsi="宋体" w:cs="宋体"/>
          <w:color w:val="auto"/>
          <w:sz w:val="24"/>
          <w:szCs w:val="24"/>
          <w:lang w:val="en-US" w:eastAsia="zh-CN"/>
        </w:rPr>
        <w:t>指定地点</w:t>
      </w:r>
      <w:r>
        <w:rPr>
          <w:rFonts w:hint="eastAsia" w:ascii="宋体" w:hAnsi="宋体" w:eastAsia="宋体" w:cs="宋体"/>
          <w:color w:val="auto"/>
          <w:sz w:val="24"/>
          <w:szCs w:val="24"/>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、付款方式：设备验收合格后，供应商将发票交到娄底市中心医院后按程序支付货款90%（按医院财务制度一般情况下4个月内支付、特殊情况下最多不超过6个月），甲方在设备验收合格</w:t>
      </w:r>
      <w:r>
        <w:rPr>
          <w:rFonts w:hint="eastAsia" w:ascii="宋体" w:hAnsi="宋体" w:eastAsia="宋体" w:cs="宋体"/>
          <w:color w:val="auto"/>
          <w:sz w:val="24"/>
          <w:szCs w:val="24"/>
          <w:lang w:val="en-US" w:eastAsia="zh-CN"/>
        </w:rPr>
        <w:t>满</w:t>
      </w:r>
      <w:r>
        <w:rPr>
          <w:rFonts w:hint="eastAsia" w:ascii="宋体" w:hAnsi="宋体" w:cs="宋体"/>
          <w:color w:val="auto"/>
          <w:sz w:val="24"/>
          <w:szCs w:val="24"/>
          <w:u w:val="none"/>
          <w:lang w:val="en-US" w:eastAsia="zh-CN"/>
        </w:rPr>
        <w:t>3年</w:t>
      </w:r>
      <w:r>
        <w:rPr>
          <w:rFonts w:hint="eastAsia" w:ascii="宋体" w:hAnsi="宋体" w:eastAsia="宋体" w:cs="宋体"/>
          <w:color w:val="auto"/>
          <w:sz w:val="24"/>
          <w:szCs w:val="24"/>
        </w:rPr>
        <w:t>后</w:t>
      </w:r>
      <w:r>
        <w:rPr>
          <w:rFonts w:hint="eastAsia" w:ascii="宋体" w:hAnsi="宋体" w:cs="宋体"/>
          <w:color w:val="auto"/>
          <w:sz w:val="24"/>
          <w:szCs w:val="24"/>
          <w:lang w:eastAsia="zh-CN"/>
        </w:rPr>
        <w:t>免息</w:t>
      </w:r>
      <w:r>
        <w:rPr>
          <w:rFonts w:hint="eastAsia" w:ascii="宋体" w:hAnsi="宋体" w:eastAsia="宋体" w:cs="宋体"/>
          <w:color w:val="auto"/>
          <w:sz w:val="24"/>
          <w:szCs w:val="24"/>
        </w:rPr>
        <w:t>支付10%余款给乙方。</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5、质保与售后：整机保修</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年，终身维修。</w:t>
      </w:r>
      <w:r>
        <w:rPr>
          <w:rFonts w:hint="eastAsia" w:ascii="宋体" w:hAnsi="宋体" w:cs="宋体"/>
          <w:color w:val="auto"/>
          <w:sz w:val="24"/>
          <w:szCs w:val="24"/>
          <w:lang w:val="en-US" w:eastAsia="zh-CN"/>
        </w:rPr>
        <w:t>验收时</w:t>
      </w:r>
      <w:r>
        <w:rPr>
          <w:rFonts w:hint="eastAsia" w:ascii="宋体" w:hAnsi="宋体" w:eastAsia="宋体" w:cs="宋体"/>
          <w:color w:val="auto"/>
          <w:sz w:val="24"/>
          <w:szCs w:val="24"/>
        </w:rPr>
        <w:t>出具原厂售后质保承诺书，质保期内每年巡检</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rPr>
        <w:t>次</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并提交巡检记录</w:t>
      </w:r>
      <w:r>
        <w:rPr>
          <w:rFonts w:hint="eastAsia" w:ascii="宋体" w:hAnsi="宋体" w:eastAsia="宋体" w:cs="宋体"/>
          <w:color w:val="auto"/>
          <w:sz w:val="24"/>
          <w:szCs w:val="24"/>
        </w:rPr>
        <w:t>。</w:t>
      </w:r>
      <w:r>
        <w:rPr>
          <w:rFonts w:hint="eastAsia" w:ascii="宋体" w:hAnsi="宋体" w:eastAsia="宋体" w:cs="宋体"/>
          <w:color w:val="auto"/>
          <w:sz w:val="24"/>
          <w:szCs w:val="24"/>
          <w:lang w:val="zh-CN" w:eastAsia="zh-CN"/>
        </w:rPr>
        <w:t>质保期内</w:t>
      </w:r>
      <w:r>
        <w:rPr>
          <w:rFonts w:hint="eastAsia" w:ascii="宋体" w:hAnsi="宋体" w:cs="宋体"/>
          <w:color w:val="auto"/>
          <w:sz w:val="24"/>
          <w:szCs w:val="24"/>
          <w:lang w:val="en-US" w:eastAsia="zh-CN"/>
        </w:rPr>
        <w:t>出现故障</w:t>
      </w:r>
      <w:r>
        <w:rPr>
          <w:rFonts w:hint="eastAsia" w:ascii="宋体" w:hAnsi="宋体" w:eastAsia="宋体" w:cs="宋体"/>
          <w:color w:val="auto"/>
          <w:sz w:val="24"/>
          <w:szCs w:val="24"/>
          <w:lang w:val="en-US" w:eastAsia="zh-CN"/>
        </w:rPr>
        <w:t>，24小时响应，响应后4小时上门服务</w:t>
      </w:r>
      <w:r>
        <w:rPr>
          <w:rFonts w:hint="eastAsia" w:ascii="宋体" w:hAnsi="宋体" w:cs="宋体"/>
          <w:color w:val="auto"/>
          <w:sz w:val="24"/>
          <w:szCs w:val="24"/>
          <w:lang w:val="en-US" w:eastAsia="zh-CN"/>
        </w:rPr>
        <w:t>。</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6、在投标文件中必须提供相关佐证资料（加盖投标人公章的技术参数、技术白皮书、说明书、彩页），并在响应表中备注该条参数响应或正偏离的佐证资料所在页码。</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脑电监测仪</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脑电监测仪</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9"/>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2" w:hRule="atLeast"/>
        </w:trPr>
        <w:tc>
          <w:tcPr>
            <w:tcW w:w="1517"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脑电监测仪</w:t>
            </w:r>
          </w:p>
        </w:tc>
        <w:tc>
          <w:tcPr>
            <w:tcW w:w="1220" w:type="dxa"/>
            <w:noWrap w:val="0"/>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54"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noWrap w:val="0"/>
            <w:vAlign w:val="top"/>
          </w:tcPr>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w:t>
      </w:r>
      <w:r>
        <w:rPr>
          <w:rFonts w:hint="eastAsia" w:ascii="宋体" w:hAnsi="宋体" w:cs="宋体"/>
          <w:color w:val="000000" w:themeColor="text1"/>
          <w:sz w:val="24"/>
          <w:szCs w:val="24"/>
          <w:highlight w:val="non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cs="宋体"/>
          <w:color w:val="000000" w:themeColor="text1"/>
          <w:sz w:val="24"/>
          <w:szCs w:val="24"/>
          <w:highlight w:val="none"/>
          <w:u w:val="singl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杨娟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pPr>
        <w:keepNext w:val="0"/>
        <w:keepLines w:val="0"/>
        <w:pageBreakBefore w:val="0"/>
        <w:widowControl/>
        <w:numPr>
          <w:ilvl w:val="-1"/>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无论甲方在任意时候（不限于本合同履行期间）发现存在违反本合同廉洁条款及供应商考核管理制度约定的行为，乙方均须向甲方一次性支付惩罚性违约金   .00元，如本金额与根据甲方供应商考核管理制度计算的违约金金额不一致，违约金金额以价高的为准。如乙方除需承担违反廉洁条款及供应商考核管理制度的违约责任外，同时存在其他违约行为，乙方仍须就其他违约行为承担相应违约责任。</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 xml:space="preserve"> 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 xml:space="preserve"> 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法定代表人（签字）：    </w:t>
      </w: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pStyle w:val="2"/>
        <w:numPr>
          <w:ilvl w:val="0"/>
          <w:numId w:val="0"/>
        </w:numPr>
        <w:spacing w:line="240" w:lineRule="auto"/>
        <w:ind w:left="2940" w:leftChars="0"/>
        <w:jc w:val="both"/>
        <w:rPr>
          <w:rFonts w:hint="eastAsia" w:ascii="宋体" w:hAnsi="宋体" w:cs="宋体"/>
          <w:color w:val="auto"/>
          <w:sz w:val="30"/>
          <w:szCs w:val="30"/>
        </w:rPr>
      </w:pPr>
      <w:bookmarkStart w:id="4" w:name="_GoBack"/>
      <w:bookmarkEnd w:id="4"/>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pPr>
        <w:rPr>
          <w:rFonts w:hint="eastAsia" w:ascii="宋体" w:hAnsi="宋体" w:cs="宋体"/>
          <w:color w:val="auto"/>
        </w:rPr>
      </w:pPr>
    </w:p>
    <w:bookmarkEnd w:id="1"/>
    <w:p>
      <w:pPr>
        <w:rPr>
          <w:rFonts w:hint="eastAsia"/>
          <w:color w:val="auto"/>
        </w:rPr>
      </w:pPr>
    </w:p>
    <w:p>
      <w:pPr>
        <w:jc w:val="center"/>
        <w:rPr>
          <w:b/>
          <w:color w:val="auto"/>
          <w:sz w:val="24"/>
        </w:rPr>
      </w:pPr>
      <w:r>
        <w:rPr>
          <w:b/>
          <w:color w:val="auto"/>
          <w:sz w:val="28"/>
          <w:szCs w:val="28"/>
        </w:rPr>
        <w:t>第一部分、开标一览表</w:t>
      </w:r>
    </w:p>
    <w:p>
      <w:pPr>
        <w:jc w:val="center"/>
        <w:rPr>
          <w:b/>
          <w:color w:val="auto"/>
          <w:sz w:val="24"/>
        </w:rPr>
      </w:pPr>
    </w:p>
    <w:p>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pPr>
        <w:pStyle w:val="15"/>
        <w:rPr>
          <w:color w:val="auto"/>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pPr>
        <w:pStyle w:val="14"/>
        <w:rPr>
          <w:rFonts w:hint="eastAsia"/>
          <w:lang w:eastAsia="zh-CN"/>
        </w:rPr>
      </w:pP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pPr>
        <w:adjustRightInd w:val="0"/>
        <w:snapToGrid w:val="0"/>
        <w:spacing w:line="360" w:lineRule="auto"/>
        <w:rPr>
          <w:rFonts w:hint="eastAsia" w:ascii="宋体" w:hAnsi="宋体" w:cs="宋体"/>
          <w:b/>
          <w:color w:val="auto"/>
          <w:sz w:val="28"/>
          <w:szCs w:val="28"/>
        </w:rPr>
      </w:pP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pPr>
        <w:adjustRightInd w:val="0"/>
        <w:snapToGrid w:val="0"/>
        <w:spacing w:line="360" w:lineRule="auto"/>
        <w:ind w:firstLine="480" w:firstLineChars="200"/>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pPr>
        <w:adjustRightInd w:val="0"/>
        <w:snapToGrid w:val="0"/>
        <w:spacing w:line="360" w:lineRule="auto"/>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rPr>
          <w:rFonts w:hint="eastAsia" w:ascii="宋体" w:hAnsi="宋体" w:cs="宋体"/>
          <w:b/>
          <w:color w:val="auto"/>
          <w:sz w:val="28"/>
          <w:szCs w:val="28"/>
        </w:rPr>
      </w:pPr>
    </w:p>
    <w:p>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pPr>
        <w:adjustRightInd w:val="0"/>
        <w:snapToGrid w:val="0"/>
        <w:spacing w:line="360" w:lineRule="auto"/>
        <w:jc w:val="center"/>
        <w:rPr>
          <w:rFonts w:hint="eastAsia" w:ascii="宋体" w:hAnsi="宋体" w:cs="宋体"/>
          <w:b/>
          <w:color w:val="auto"/>
          <w:sz w:val="24"/>
          <w:szCs w:val="20"/>
        </w:rPr>
      </w:pPr>
    </w:p>
    <w:p>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pPr>
        <w:pStyle w:val="14"/>
        <w:rPr>
          <w:rFonts w:hint="eastAsia"/>
          <w:lang w:eastAsia="zh-CN"/>
        </w:rPr>
      </w:pPr>
    </w:p>
    <w:p>
      <w:pPr>
        <w:spacing w:before="120" w:beforeLines="50" w:after="120" w:afterLines="50" w:line="276" w:lineRule="auto"/>
        <w:jc w:val="center"/>
        <w:rPr>
          <w:b/>
          <w:color w:val="auto"/>
          <w:sz w:val="24"/>
        </w:rPr>
      </w:pPr>
      <w:r>
        <w:rPr>
          <w:b/>
          <w:color w:val="auto"/>
          <w:sz w:val="24"/>
        </w:rPr>
        <w:t>采购需求响应/偏离表</w:t>
      </w:r>
    </w:p>
    <w:p>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9"/>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pPr>
              <w:adjustRightInd w:val="0"/>
              <w:snapToGrid w:val="0"/>
              <w:spacing w:before="50" w:line="360" w:lineRule="auto"/>
              <w:jc w:val="center"/>
              <w:rPr>
                <w:color w:val="auto"/>
              </w:rPr>
            </w:pPr>
            <w:r>
              <w:rPr>
                <w:color w:val="auto"/>
              </w:rPr>
              <w:t>招标文件要求</w:t>
            </w:r>
          </w:p>
        </w:tc>
        <w:tc>
          <w:tcPr>
            <w:tcW w:w="962" w:type="pct"/>
            <w:noWrap w:val="0"/>
            <w:vAlign w:val="top"/>
          </w:tcPr>
          <w:p>
            <w:pPr>
              <w:adjustRightInd w:val="0"/>
              <w:snapToGrid w:val="0"/>
              <w:spacing w:before="50" w:line="360" w:lineRule="auto"/>
              <w:jc w:val="center"/>
              <w:rPr>
                <w:color w:val="auto"/>
              </w:rPr>
            </w:pPr>
            <w:r>
              <w:rPr>
                <w:color w:val="auto"/>
              </w:rPr>
              <w:t>投标文件应答</w:t>
            </w:r>
          </w:p>
        </w:tc>
        <w:tc>
          <w:tcPr>
            <w:tcW w:w="905" w:type="pct"/>
            <w:noWrap w:val="0"/>
            <w:vAlign w:val="center"/>
          </w:tcPr>
          <w:p>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pPr>
              <w:adjustRightInd w:val="0"/>
              <w:snapToGrid w:val="0"/>
              <w:spacing w:before="50" w:line="360" w:lineRule="auto"/>
              <w:ind w:left="-88" w:leftChars="-42"/>
              <w:jc w:val="center"/>
              <w:rPr>
                <w:color w:val="auto"/>
                <w:szCs w:val="21"/>
              </w:rPr>
            </w:pPr>
            <w:r>
              <w:rPr>
                <w:color w:val="auto"/>
                <w:szCs w:val="21"/>
              </w:rPr>
              <w:t>偏离说明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pPr>
              <w:rPr>
                <w:b/>
                <w:color w:val="auto"/>
              </w:rPr>
            </w:pPr>
          </w:p>
        </w:tc>
      </w:tr>
    </w:tbl>
    <w:p>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pPr>
        <w:adjustRightInd w:val="0"/>
        <w:snapToGrid w:val="0"/>
        <w:spacing w:before="50" w:line="360" w:lineRule="auto"/>
        <w:ind w:left="-88" w:leftChars="-42"/>
        <w:rPr>
          <w:rFonts w:hint="eastAsia"/>
          <w:color w:val="auto"/>
          <w:sz w:val="24"/>
        </w:rPr>
      </w:pPr>
      <w:r>
        <w:rPr>
          <w:color w:val="auto"/>
          <w:sz w:val="24"/>
        </w:rPr>
        <w:t>（2）如不提供此表，则视为投标人不满足招标文件第三章的所有条款要求，其投标无效；</w:t>
      </w:r>
    </w:p>
    <w:p>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pPr>
        <w:pStyle w:val="15"/>
        <w:rPr>
          <w:color w:val="auto"/>
        </w:rPr>
      </w:pPr>
    </w:p>
    <w:p>
      <w:pPr>
        <w:pStyle w:val="14"/>
        <w:rPr>
          <w:rFonts w:hint="eastAsia"/>
          <w:lang w:eastAsia="zh-CN"/>
        </w:rPr>
      </w:pPr>
    </w:p>
    <w:p/>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4653F41"/>
    <w:rsid w:val="04B72FC8"/>
    <w:rsid w:val="06E91EC4"/>
    <w:rsid w:val="086F75C9"/>
    <w:rsid w:val="0A3F4F3C"/>
    <w:rsid w:val="0E331420"/>
    <w:rsid w:val="0EDD1643"/>
    <w:rsid w:val="0FB9029C"/>
    <w:rsid w:val="10914EF9"/>
    <w:rsid w:val="12080B62"/>
    <w:rsid w:val="12994AC5"/>
    <w:rsid w:val="129F447F"/>
    <w:rsid w:val="12C86253"/>
    <w:rsid w:val="15060AC8"/>
    <w:rsid w:val="15675A4C"/>
    <w:rsid w:val="17F91BB8"/>
    <w:rsid w:val="1AF56B46"/>
    <w:rsid w:val="1E79119D"/>
    <w:rsid w:val="1F334F58"/>
    <w:rsid w:val="1F796B24"/>
    <w:rsid w:val="1FE73549"/>
    <w:rsid w:val="2038045E"/>
    <w:rsid w:val="20B41DA7"/>
    <w:rsid w:val="272B6E6C"/>
    <w:rsid w:val="27CF2BB7"/>
    <w:rsid w:val="28E81B29"/>
    <w:rsid w:val="29B45A41"/>
    <w:rsid w:val="2C0A2E19"/>
    <w:rsid w:val="2C7642D0"/>
    <w:rsid w:val="2DD77C64"/>
    <w:rsid w:val="2DDA1E78"/>
    <w:rsid w:val="2DE00B8C"/>
    <w:rsid w:val="2EAC037F"/>
    <w:rsid w:val="2EB67A5C"/>
    <w:rsid w:val="302741D2"/>
    <w:rsid w:val="308B184D"/>
    <w:rsid w:val="33384C93"/>
    <w:rsid w:val="340F06E9"/>
    <w:rsid w:val="372F7378"/>
    <w:rsid w:val="397348CD"/>
    <w:rsid w:val="3B3B544D"/>
    <w:rsid w:val="3B654F2B"/>
    <w:rsid w:val="3BB72BAE"/>
    <w:rsid w:val="3C8A61A4"/>
    <w:rsid w:val="3D5E17FF"/>
    <w:rsid w:val="3E1F0DA4"/>
    <w:rsid w:val="3E584E51"/>
    <w:rsid w:val="3EBE1ADE"/>
    <w:rsid w:val="403B4B34"/>
    <w:rsid w:val="414D7889"/>
    <w:rsid w:val="41BB0BAE"/>
    <w:rsid w:val="429A4992"/>
    <w:rsid w:val="435B161D"/>
    <w:rsid w:val="43B25DAC"/>
    <w:rsid w:val="44771DFD"/>
    <w:rsid w:val="45D569C3"/>
    <w:rsid w:val="4AEE1A11"/>
    <w:rsid w:val="4B7F39F4"/>
    <w:rsid w:val="4BAE646F"/>
    <w:rsid w:val="4CAC1559"/>
    <w:rsid w:val="4D754257"/>
    <w:rsid w:val="4DCD6AB3"/>
    <w:rsid w:val="50216DCD"/>
    <w:rsid w:val="50540C20"/>
    <w:rsid w:val="51AC28BD"/>
    <w:rsid w:val="581A7C72"/>
    <w:rsid w:val="583A4BD7"/>
    <w:rsid w:val="59C74B1F"/>
    <w:rsid w:val="611B6B1B"/>
    <w:rsid w:val="62C222C2"/>
    <w:rsid w:val="632D7C40"/>
    <w:rsid w:val="64133D6A"/>
    <w:rsid w:val="678E4F5D"/>
    <w:rsid w:val="680E122C"/>
    <w:rsid w:val="6A4E1D63"/>
    <w:rsid w:val="6DE375E4"/>
    <w:rsid w:val="6E8E5287"/>
    <w:rsid w:val="6FBE332C"/>
    <w:rsid w:val="71554367"/>
    <w:rsid w:val="71584067"/>
    <w:rsid w:val="735201FF"/>
    <w:rsid w:val="737B50A4"/>
    <w:rsid w:val="73F40E72"/>
    <w:rsid w:val="74566F5C"/>
    <w:rsid w:val="750117A8"/>
    <w:rsid w:val="755B2270"/>
    <w:rsid w:val="76920D75"/>
    <w:rsid w:val="77423DFF"/>
    <w:rsid w:val="783B5EA9"/>
    <w:rsid w:val="79EB699D"/>
    <w:rsid w:val="7B0620DE"/>
    <w:rsid w:val="7BBF44BB"/>
    <w:rsid w:val="7BF15CE4"/>
    <w:rsid w:val="7C3A27E5"/>
    <w:rsid w:val="7D9727DD"/>
    <w:rsid w:val="7EFB4F6E"/>
    <w:rsid w:val="7F1A5E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4">
    <w:name w:val="Body Text Indent"/>
    <w:basedOn w:val="1"/>
    <w:next w:val="5"/>
    <w:autoRedefine/>
    <w:qFormat/>
    <w:uiPriority w:val="99"/>
    <w:pPr>
      <w:spacing w:line="400" w:lineRule="exact"/>
      <w:ind w:left="630"/>
    </w:pPr>
    <w:rPr>
      <w:rFonts w:ascii="楷体_GB2312"/>
      <w:sz w:val="30"/>
      <w:szCs w:val="30"/>
    </w:rPr>
  </w:style>
  <w:style w:type="paragraph" w:styleId="5">
    <w:name w:val="Body Text First Indent 2"/>
    <w:basedOn w:val="4"/>
    <w:next w:val="1"/>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styleId="6">
    <w:name w:val="footer"/>
    <w:basedOn w:val="1"/>
    <w:autoRedefine/>
    <w:qFormat/>
    <w:uiPriority w:val="0"/>
    <w:pPr>
      <w:tabs>
        <w:tab w:val="center" w:pos="4153"/>
        <w:tab w:val="right" w:pos="8306"/>
      </w:tabs>
      <w:snapToGrid w:val="0"/>
      <w:jc w:val="left"/>
    </w:pPr>
    <w:rPr>
      <w:kern w:val="0"/>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rPr>
      <w:sz w:val="24"/>
    </w:rPr>
  </w:style>
  <w:style w:type="paragraph" w:customStyle="1" w:styleId="11">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2">
    <w:name w:val="Default"/>
    <w:next w:val="13"/>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3">
    <w:name w:val="大标题"/>
    <w:basedOn w:val="1"/>
    <w:next w:val="5"/>
    <w:autoRedefine/>
    <w:qFormat/>
    <w:uiPriority w:val="0"/>
    <w:pPr>
      <w:jc w:val="center"/>
    </w:pPr>
    <w:rPr>
      <w:rFonts w:ascii="Arial" w:hAnsi="Arial" w:eastAsia="宋体"/>
      <w:b/>
      <w:sz w:val="28"/>
      <w:szCs w:val="24"/>
    </w:rPr>
  </w:style>
  <w:style w:type="paragraph" w:customStyle="1" w:styleId="14">
    <w:name w:val="列出段落1"/>
    <w:basedOn w:val="1"/>
    <w:autoRedefine/>
    <w:qFormat/>
    <w:uiPriority w:val="99"/>
    <w:pPr>
      <w:ind w:firstLine="420" w:firstLineChars="200"/>
    </w:pPr>
  </w:style>
  <w:style w:type="paragraph" w:customStyle="1" w:styleId="15">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6">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7259</Words>
  <Characters>7660</Characters>
  <Lines>0</Lines>
  <Paragraphs>0</Paragraphs>
  <TotalTime>2</TotalTime>
  <ScaleCrop>false</ScaleCrop>
  <LinksUpToDate>false</LinksUpToDate>
  <CharactersWithSpaces>8610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2024-06-26T02:31:54Z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3505A2AB25E048A4A9B0E6A6741CA1BA_11</vt:lpwstr>
  </property>
</Properties>
</file>