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9FF9F5">
      <w:pPr>
        <w:pStyle w:val="12"/>
        <w:snapToGrid w:val="0"/>
        <w:jc w:val="center"/>
        <w:rPr>
          <w:rFonts w:hint="eastAsia" w:ascii="Arial" w:hAnsi="Arial" w:eastAsia="方正小标宋简体" w:cs="Arial"/>
          <w:color w:val="auto"/>
          <w:sz w:val="72"/>
          <w:szCs w:val="72"/>
          <w:lang w:eastAsia="zh-CN"/>
        </w:rPr>
      </w:pPr>
      <w:bookmarkStart w:id="0" w:name="_Toc16523570"/>
    </w:p>
    <w:p w14:paraId="38648228">
      <w:pPr>
        <w:pStyle w:val="12"/>
        <w:tabs>
          <w:tab w:val="left" w:pos="312"/>
        </w:tabs>
        <w:snapToGrid w:val="0"/>
        <w:spacing w:line="288" w:lineRule="auto"/>
        <w:jc w:val="center"/>
        <w:rPr>
          <w:rFonts w:ascii="Arial" w:hAnsi="Arial" w:eastAsia="方正小标宋简体" w:cs="Arial"/>
          <w:sz w:val="72"/>
          <w:szCs w:val="72"/>
        </w:rPr>
      </w:pPr>
      <w:r>
        <w:rPr>
          <w:rFonts w:hint="eastAsia" w:ascii="Arial" w:hAnsi="Arial" w:eastAsia="方正小标宋简体" w:cs="Arial"/>
          <w:sz w:val="72"/>
          <w:szCs w:val="72"/>
        </w:rPr>
        <w:t>娄底市中心医院院内</w:t>
      </w:r>
    </w:p>
    <w:p w14:paraId="573B70A2">
      <w:pPr>
        <w:pStyle w:val="12"/>
        <w:snapToGrid w:val="0"/>
        <w:jc w:val="center"/>
        <w:rPr>
          <w:rFonts w:ascii="Arial" w:hAnsi="Arial" w:eastAsia="方正小标宋简体" w:cs="Arial"/>
          <w:sz w:val="72"/>
          <w:szCs w:val="72"/>
        </w:rPr>
      </w:pPr>
    </w:p>
    <w:p w14:paraId="48AC3AC9">
      <w:pPr>
        <w:pStyle w:val="12"/>
        <w:snapToGrid w:val="0"/>
        <w:jc w:val="center"/>
        <w:rPr>
          <w:rFonts w:ascii="Arial" w:hAnsi="Arial" w:eastAsia="方正小标宋简体" w:cs="Arial"/>
          <w:sz w:val="72"/>
          <w:szCs w:val="72"/>
        </w:rPr>
      </w:pPr>
      <w:r>
        <w:rPr>
          <w:rFonts w:hint="eastAsia" w:ascii="Arial" w:hAnsi="Arial" w:eastAsia="方正小标宋简体" w:cs="Arial"/>
          <w:sz w:val="72"/>
          <w:szCs w:val="72"/>
        </w:rPr>
        <w:t>招</w:t>
      </w:r>
    </w:p>
    <w:p w14:paraId="2F41BA1F">
      <w:pPr>
        <w:pStyle w:val="12"/>
        <w:snapToGrid w:val="0"/>
        <w:jc w:val="center"/>
        <w:rPr>
          <w:rFonts w:ascii="Arial" w:hAnsi="Arial" w:eastAsia="方正小标宋简体" w:cs="Arial"/>
          <w:sz w:val="72"/>
          <w:szCs w:val="72"/>
        </w:rPr>
      </w:pPr>
    </w:p>
    <w:p w14:paraId="5AFE286C">
      <w:pPr>
        <w:pStyle w:val="12"/>
        <w:snapToGrid w:val="0"/>
        <w:jc w:val="center"/>
        <w:rPr>
          <w:rFonts w:ascii="Arial" w:hAnsi="Arial" w:eastAsia="方正小标宋简体" w:cs="Arial"/>
          <w:sz w:val="72"/>
          <w:szCs w:val="72"/>
        </w:rPr>
      </w:pPr>
      <w:r>
        <w:rPr>
          <w:rFonts w:ascii="Arial" w:hAnsi="Arial" w:eastAsia="方正小标宋简体" w:cs="Arial"/>
          <w:sz w:val="72"/>
          <w:szCs w:val="72"/>
        </w:rPr>
        <w:t>标</w:t>
      </w:r>
    </w:p>
    <w:p w14:paraId="65B9AA34">
      <w:pPr>
        <w:pStyle w:val="12"/>
        <w:snapToGrid w:val="0"/>
        <w:jc w:val="center"/>
        <w:rPr>
          <w:rFonts w:ascii="Arial" w:hAnsi="Arial" w:eastAsia="方正小标宋简体" w:cs="Arial"/>
          <w:sz w:val="72"/>
          <w:szCs w:val="72"/>
        </w:rPr>
      </w:pPr>
    </w:p>
    <w:p w14:paraId="705E1937">
      <w:pPr>
        <w:pStyle w:val="12"/>
        <w:snapToGrid w:val="0"/>
        <w:jc w:val="center"/>
        <w:rPr>
          <w:rFonts w:ascii="Arial" w:hAnsi="Arial" w:eastAsia="方正小标宋简体" w:cs="Arial"/>
          <w:sz w:val="72"/>
          <w:szCs w:val="72"/>
        </w:rPr>
      </w:pPr>
      <w:r>
        <w:rPr>
          <w:rFonts w:ascii="Arial" w:hAnsi="Arial" w:eastAsia="方正小标宋简体" w:cs="Arial"/>
          <w:sz w:val="72"/>
          <w:szCs w:val="72"/>
        </w:rPr>
        <w:t>文</w:t>
      </w:r>
    </w:p>
    <w:p w14:paraId="33ECBBA1">
      <w:pPr>
        <w:pStyle w:val="12"/>
        <w:snapToGrid w:val="0"/>
        <w:jc w:val="center"/>
        <w:rPr>
          <w:rFonts w:ascii="Arial" w:hAnsi="Arial" w:eastAsia="方正小标宋简体" w:cs="Arial"/>
          <w:sz w:val="72"/>
          <w:szCs w:val="72"/>
        </w:rPr>
      </w:pPr>
    </w:p>
    <w:p w14:paraId="7E5286DA">
      <w:pPr>
        <w:pStyle w:val="12"/>
        <w:snapToGrid w:val="0"/>
        <w:jc w:val="center"/>
        <w:rPr>
          <w:rFonts w:ascii="Arial" w:hAnsi="Arial" w:eastAsia="方正小标宋简体" w:cs="Arial"/>
          <w:sz w:val="36"/>
          <w:szCs w:val="36"/>
        </w:rPr>
      </w:pPr>
      <w:r>
        <w:rPr>
          <w:rFonts w:ascii="Arial" w:hAnsi="Arial" w:eastAsia="方正小标宋简体" w:cs="Arial"/>
          <w:sz w:val="72"/>
          <w:szCs w:val="72"/>
        </w:rPr>
        <w:t>件</w:t>
      </w:r>
    </w:p>
    <w:p w14:paraId="39A969AB">
      <w:pPr>
        <w:pStyle w:val="12"/>
        <w:snapToGrid w:val="0"/>
        <w:jc w:val="center"/>
        <w:rPr>
          <w:rFonts w:ascii="Arial" w:hAnsi="Arial" w:cs="Arial"/>
          <w:sz w:val="32"/>
          <w:szCs w:val="32"/>
        </w:rPr>
      </w:pPr>
    </w:p>
    <w:p w14:paraId="62F2469F">
      <w:pPr>
        <w:pStyle w:val="12"/>
        <w:snapToGrid w:val="0"/>
        <w:jc w:val="center"/>
        <w:rPr>
          <w:rFonts w:ascii="Arial" w:hAnsi="Arial" w:cs="Arial"/>
          <w:sz w:val="32"/>
          <w:szCs w:val="32"/>
        </w:rPr>
      </w:pPr>
    </w:p>
    <w:p w14:paraId="4BC89937">
      <w:pPr>
        <w:pStyle w:val="12"/>
        <w:snapToGrid w:val="0"/>
        <w:jc w:val="center"/>
        <w:rPr>
          <w:rFonts w:ascii="Arial" w:hAnsi="Arial" w:cs="Arial"/>
          <w:sz w:val="32"/>
          <w:szCs w:val="32"/>
        </w:rPr>
      </w:pPr>
    </w:p>
    <w:p w14:paraId="3869A1F9">
      <w:pPr>
        <w:spacing w:line="360" w:lineRule="auto"/>
        <w:rPr>
          <w:rFonts w:hint="eastAsia"/>
          <w:bCs/>
          <w:sz w:val="32"/>
          <w:szCs w:val="32"/>
        </w:rPr>
      </w:pPr>
    </w:p>
    <w:p w14:paraId="70E4300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娄底市中心医院设备科医疗器械招标文件</w:t>
      </w:r>
    </w:p>
    <w:p w14:paraId="7CC6C844">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（心电监护仪医院公开挂网</w:t>
      </w:r>
      <w:r>
        <w:rPr>
          <w:rFonts w:hint="eastAsia" w:ascii="Times New Roman" w:hAnsi="Times New Roman" w:eastAsia="宋体" w:cs="Times New Roman"/>
          <w:b/>
          <w:bCs/>
          <w:kern w:val="44"/>
          <w:sz w:val="32"/>
          <w:szCs w:val="32"/>
          <w:lang w:val="en-US" w:eastAsia="zh-CN" w:bidi="ar-SA"/>
        </w:rPr>
        <w:t>）</w:t>
      </w:r>
    </w:p>
    <w:p w14:paraId="4A443BAD">
      <w:pPr>
        <w:spacing w:line="320" w:lineRule="exact"/>
        <w:jc w:val="left"/>
        <w:rPr>
          <w:sz w:val="24"/>
        </w:rPr>
      </w:pPr>
    </w:p>
    <w:p w14:paraId="459DFE34">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四</w:t>
      </w:r>
      <w:r>
        <w:rPr>
          <w:rFonts w:hint="eastAsia" w:ascii="宋体" w:hAnsi="宋体" w:cs="宋体"/>
          <w:bCs/>
          <w:sz w:val="32"/>
          <w:szCs w:val="32"/>
        </w:rPr>
        <w:t>年</w:t>
      </w:r>
      <w:r>
        <w:rPr>
          <w:rFonts w:hint="eastAsia" w:ascii="宋体" w:hAnsi="宋体" w:cs="宋体"/>
          <w:bCs/>
          <w:sz w:val="32"/>
          <w:szCs w:val="32"/>
          <w:lang w:eastAsia="zh-CN"/>
        </w:rPr>
        <w:t>九</w:t>
      </w:r>
      <w:r>
        <w:rPr>
          <w:rFonts w:hint="eastAsia" w:ascii="宋体" w:hAnsi="宋体" w:cs="宋体"/>
          <w:bCs/>
          <w:sz w:val="32"/>
          <w:szCs w:val="32"/>
        </w:rPr>
        <w:t>月</w:t>
      </w:r>
    </w:p>
    <w:p w14:paraId="3DF298CF">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78BCE36">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心电监护仪</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7DFD7C9D">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0FCC5D9E">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心电监护仪</w:t>
      </w:r>
      <w:r>
        <w:rPr>
          <w:rFonts w:hint="eastAsia" w:asciiTheme="minorEastAsia" w:hAnsiTheme="minorEastAsia" w:eastAsiaTheme="minorEastAsia" w:cstheme="minorEastAsia"/>
          <w:b w:val="0"/>
          <w:bCs/>
          <w:color w:val="auto"/>
          <w:sz w:val="24"/>
          <w:szCs w:val="24"/>
          <w:lang w:val="en-US" w:eastAsia="zh-CN"/>
        </w:rPr>
        <w:t>项目</w:t>
      </w:r>
    </w:p>
    <w:p w14:paraId="3276E07E">
      <w:pPr>
        <w:pStyle w:val="12"/>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49BC8245">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w:t>
      </w:r>
      <w:r>
        <w:rPr>
          <w:rFonts w:hint="eastAsia" w:asciiTheme="minorEastAsia" w:hAnsiTheme="minorEastAsia" w:eastAsiaTheme="minorEastAsia" w:cstheme="minorEastAsia"/>
          <w:bCs/>
          <w:color w:val="auto"/>
          <w:sz w:val="24"/>
          <w:szCs w:val="24"/>
          <w:lang w:val="en-US" w:eastAsia="zh-CN"/>
        </w:rPr>
        <w:t>公开挂网，最低评标价法，在满足所有参数的条件下，报价最低者中标，如有多个并列最低价，则由并列最低价投标人再次报价，直至出现最低报价为止。</w:t>
      </w:r>
    </w:p>
    <w:bookmarkEnd w:id="0"/>
    <w:p w14:paraId="402B7625">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3DBB2980">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570B3804">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093EB20C">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09909680">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4F8B8C5A">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34CCEB7B">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6C8CC2F9">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69BEBEE6">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43A6D269">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7A57AA98">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五、招标人地址和联系方法：</w:t>
      </w:r>
    </w:p>
    <w:p w14:paraId="47957F6C">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1、招标人名称：娄底市中心医院</w:t>
      </w:r>
    </w:p>
    <w:p w14:paraId="5E9D5EE3">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5D403F60">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3、招标人地址：娄底市长青中街51号</w:t>
      </w:r>
    </w:p>
    <w:p w14:paraId="414FFAFB">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09F85A01">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01894323">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2A027E2E">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1.2、资格评审时，投标人资格条件不符合国家有关规定或者招标文件要求的，或者拒不按照要求对投标文件进行澄清、说明或补正，或者其说明补正无法证明其为合格投标人的；</w:t>
      </w:r>
    </w:p>
    <w:p w14:paraId="59CBD39C">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468F37FE">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5F33EC6D">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67A01F63">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1.6、投标文件存在弄虚作假或者隐瞒事实，或者未按照招标文件要求如实提供有关情况和文件，以及证明资料且对投标人有利的，应当否决其投标。被列为中标候选人的，应当取消其中标候选人资格。</w:t>
      </w:r>
    </w:p>
    <w:p w14:paraId="0E3F68E5">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2、有下列情形之一的，招标人将重新招标：</w:t>
      </w:r>
    </w:p>
    <w:p w14:paraId="3AAF1B83">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2B96893A">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2118BD0D">
      <w:pPr>
        <w:pStyle w:val="13"/>
        <w:rPr>
          <w:rFonts w:hint="eastAsia"/>
          <w:lang w:val="en-US" w:eastAsia="zh-CN"/>
        </w:rPr>
      </w:pPr>
    </w:p>
    <w:p w14:paraId="5F32D497">
      <w:pPr>
        <w:pStyle w:val="13"/>
        <w:jc w:val="both"/>
        <w:rPr>
          <w:rFonts w:hint="default"/>
          <w:lang w:val="en-US" w:eastAsia="zh-CN"/>
        </w:rPr>
      </w:pPr>
    </w:p>
    <w:p w14:paraId="635E3C4F">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33CDC084">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31C0F474">
      <w:pPr>
        <w:pStyle w:val="13"/>
        <w:rPr>
          <w:rFonts w:hint="eastAsia" w:ascii="宋体" w:hAnsi="宋体" w:cs="宋体"/>
          <w:b/>
          <w:bCs/>
          <w:color w:val="auto"/>
          <w:sz w:val="44"/>
          <w:szCs w:val="44"/>
          <w:lang w:val="en-US" w:eastAsia="zh-CN"/>
        </w:rPr>
      </w:pPr>
    </w:p>
    <w:p w14:paraId="07F2E394">
      <w:pPr>
        <w:pStyle w:val="8"/>
        <w:rPr>
          <w:rFonts w:hint="eastAsia" w:ascii="宋体" w:hAnsi="宋体" w:cs="宋体"/>
          <w:b/>
          <w:bCs/>
          <w:color w:val="auto"/>
          <w:sz w:val="44"/>
          <w:szCs w:val="44"/>
          <w:lang w:val="en-US" w:eastAsia="zh-CN"/>
        </w:rPr>
      </w:pPr>
    </w:p>
    <w:p w14:paraId="434F5413">
      <w:pPr>
        <w:rPr>
          <w:rFonts w:hint="eastAsia" w:ascii="宋体" w:hAnsi="宋体" w:cs="宋体"/>
          <w:b/>
          <w:bCs/>
          <w:color w:val="auto"/>
          <w:sz w:val="44"/>
          <w:szCs w:val="44"/>
          <w:lang w:val="en-US" w:eastAsia="zh-CN"/>
        </w:rPr>
      </w:pPr>
    </w:p>
    <w:p w14:paraId="68FA8AD2">
      <w:pPr>
        <w:pStyle w:val="11"/>
        <w:rPr>
          <w:rFonts w:hint="eastAsia"/>
          <w:lang w:val="en-US" w:eastAsia="zh-CN"/>
        </w:rPr>
      </w:pPr>
    </w:p>
    <w:p w14:paraId="34ED3F8C">
      <w:pPr>
        <w:pStyle w:val="2"/>
        <w:rPr>
          <w:rFonts w:hint="eastAsia" w:ascii="宋体" w:hAnsi="宋体" w:cs="宋体"/>
          <w:b/>
          <w:bCs/>
          <w:color w:val="auto"/>
          <w:sz w:val="44"/>
          <w:szCs w:val="44"/>
          <w:lang w:val="en-US" w:eastAsia="zh-CN"/>
        </w:rPr>
      </w:pPr>
    </w:p>
    <w:p w14:paraId="54DFEABB">
      <w:pPr>
        <w:rPr>
          <w:rFonts w:hint="eastAsia" w:ascii="宋体" w:hAnsi="宋体" w:cs="宋体"/>
          <w:b/>
          <w:bCs/>
          <w:color w:val="auto"/>
          <w:sz w:val="44"/>
          <w:szCs w:val="44"/>
          <w:lang w:val="en-US" w:eastAsia="zh-CN"/>
        </w:rPr>
      </w:pPr>
    </w:p>
    <w:p w14:paraId="5E2865C9">
      <w:pPr>
        <w:rPr>
          <w:rFonts w:hint="eastAsia" w:ascii="宋体" w:hAnsi="宋体" w:cs="宋体"/>
          <w:b/>
          <w:bCs/>
          <w:color w:val="auto"/>
          <w:sz w:val="44"/>
          <w:szCs w:val="44"/>
          <w:lang w:val="en-US" w:eastAsia="zh-CN"/>
        </w:rPr>
      </w:pPr>
    </w:p>
    <w:p w14:paraId="14722D58">
      <w:pPr>
        <w:rPr>
          <w:rFonts w:hint="eastAsia"/>
          <w:lang w:val="en-US" w:eastAsia="zh-CN"/>
        </w:rPr>
      </w:pPr>
    </w:p>
    <w:p w14:paraId="2ED97A37">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47BE2FE1">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9B06BC7">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9"/>
        <w:tblW w:w="930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006"/>
      </w:tblGrid>
      <w:tr w14:paraId="4EA4F4D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F9C0B55">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1F42EB5">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FF4BAB8">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615B0447">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85CA71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14:paraId="52361B5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88937FB">
            <w:pPr>
              <w:jc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5419E1A">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专用监护仪</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189DD55">
            <w:pPr>
              <w:jc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2台</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4CEB9E90">
            <w:pPr>
              <w:jc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7.2</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790B58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bidi="ar-SA"/>
              </w:rPr>
              <w:t>否</w:t>
            </w:r>
          </w:p>
        </w:tc>
      </w:tr>
      <w:tr w14:paraId="3C2673D0">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71BA8C">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B39A20D">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有创监护仪</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F814CEF">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5台</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61565B51">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10</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3E88BB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否</w:t>
            </w:r>
          </w:p>
        </w:tc>
      </w:tr>
      <w:tr w14:paraId="1BC15780">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4B1F9E5">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23CB865">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Picco模块</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9CA6729">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1CD9749">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4.3</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8B634D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否</w:t>
            </w:r>
          </w:p>
        </w:tc>
      </w:tr>
      <w:tr w14:paraId="262AA76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13D3392">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CA983F6">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转运模块</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F8EAB46">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1台</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6EA94D45">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0</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918F7C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否</w:t>
            </w:r>
          </w:p>
        </w:tc>
      </w:tr>
      <w:tr w14:paraId="517DE5C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3712909">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D4B71FD">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监护仪同品牌中央监护站</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EA56C1">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47ADEC35">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0</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8032A9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否</w:t>
            </w:r>
          </w:p>
        </w:tc>
      </w:tr>
      <w:tr w14:paraId="3825AA7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FABAAB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1203441E">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lang w:val="en-US" w:eastAsia="zh-CN"/>
              </w:rPr>
              <w:t>合计</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B4E4FF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57E9F6A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21.5</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0EB8CE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r>
    </w:tbl>
    <w:p w14:paraId="5226BA18">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5314F96F">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45526A5F">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6775EB3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05CE981F">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5FDE5796">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一、专用监护仪（2台）</w:t>
      </w:r>
    </w:p>
    <w:p w14:paraId="4FBCA737">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1.整机要求：</w:t>
      </w:r>
    </w:p>
    <w:p w14:paraId="271F48A2">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1.1模块化插件式床边监护仪，主机、显示屏和插件槽一体化设计，主机插槽数≥4个.</w:t>
      </w:r>
    </w:p>
    <w:p w14:paraId="1798AA5C">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1.2≥12.1英寸彩色电容触摸屏，高分辨率≥1280×800像素，≥8通道显示，显示屏亮度自动调节，屏幕支持手势滑动操作，支持穿戴医用防护手套操作,采用无风扇设计</w:t>
      </w:r>
    </w:p>
    <w:p w14:paraId="020C4B0F">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1.3可内置高能锂电池，供电时间≥4小时</w:t>
      </w:r>
    </w:p>
    <w:p w14:paraId="764C80CE">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1.4产品通过国家III类注册，具备FDA认证，CE MDD认证，产品设计使用年限≥10年</w:t>
      </w:r>
    </w:p>
    <w:p w14:paraId="35C9B648">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1.5配置无线发射功能，支持无线连接中央配置，可支持遥控器无线远程操作监护仪。</w:t>
      </w:r>
    </w:p>
    <w:p w14:paraId="3E45EAFF">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2.技术性能：</w:t>
      </w:r>
    </w:p>
    <w:p w14:paraId="2CFFB2AE">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2.1基本功能模块支持心电，呼吸，心率，无创血压，血氧饱和度，脉搏，双通道体温和双通道有创血压的同时监测</w:t>
      </w:r>
    </w:p>
    <w:p w14:paraId="6D04547B">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2.2配备一台转运模块，支持插入监护仪操作插槽作为主机模块，具有独立操作显示屏，屏幕尺寸≥5.5英寸，内置锂电池供电≥4小时，无风扇设计</w:t>
      </w:r>
    </w:p>
    <w:p w14:paraId="201F2E37">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2.3 ECG支持3/5导心电监测，可选配6/12导联心电监测。</w:t>
      </w:r>
    </w:p>
    <w:p w14:paraId="32BA8632">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2.4支持房颤及室上性心律失常分析功能，如：室上性心动过速，SVCs/min等，标配支持≥27种实时心律失常分析；提供产品界面、手册截图或技术专利证名材料</w:t>
      </w:r>
    </w:p>
    <w:p w14:paraId="010446DC">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 xml:space="preserve">2.5提供ST段分析功能，适用于成人，小儿和新生儿，支持在专门的窗口中分组显示心脏前壁，下壁和侧壁的ST实时片段和参考片段 </w:t>
      </w:r>
    </w:p>
    <w:p w14:paraId="00297402">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2.7无创血压适用于成人，小儿和新生儿，提供手动、自动间隔、连续、序列、整点五种测量模式</w:t>
      </w:r>
    </w:p>
    <w:p w14:paraId="6DEA4640">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2.8配置指套式血氧探头，支持浸泡清洁与消毒，防水等级IPx7</w:t>
      </w:r>
    </w:p>
    <w:p w14:paraId="6436EB46">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 xml:space="preserve">2.9有创压适用于成人，小儿和新生儿,IBP有创压测量范围：-50～360mmHg,提供肺动脉锲压（PAWP）的监测和PPV参数监测 </w:t>
      </w:r>
    </w:p>
    <w:p w14:paraId="4A6E7A21">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2.10配备一台PICCO连续血流动力学监测模块，可测胸内血液容积（ITBV/ITBVI），血管外肺水（EVLW/EVLWI），可综合评估重症患者的心脏功能及氧供和氧耗情况等</w:t>
      </w:r>
    </w:p>
    <w:p w14:paraId="19E2C8A7">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2.11可升级专业的血流动力学辅助应用，能够图形化显示监测参数，体现参数之间的关系；除血流动力学的参数监测外，还可升级目标治疗决策建议、抬腿试验辅助工具、心功能图指示及蛛网图参数跟踪等辅助功能</w:t>
      </w:r>
    </w:p>
    <w:p w14:paraId="1807624C">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2.12支持根据病人的参数趋势变化，可自动推送HR/PR、Sp02、RR 等参数的报警限建议（提供产品界面或产品使用说明书截图等证明资料)。</w:t>
      </w:r>
    </w:p>
    <w:p w14:paraId="0B4BD6FD">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2.13具备参数组合报警功能，可对患者同时多个参数变化给出统一报警提示更好地反映病人状态，提供&gt;10个预设组合报警，并允许自定义&gt;10个组合报警(提供产品界面或产品使用说明书截图等证明资料)</w:t>
      </w:r>
    </w:p>
    <w:p w14:paraId="04A57020">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2.13</w:t>
      </w:r>
      <w:r>
        <w:rPr>
          <w:rFonts w:hint="eastAsia" w:asciiTheme="minorEastAsia" w:hAnsiTheme="minorEastAsia" w:eastAsiaTheme="minorEastAsia" w:cstheme="minorEastAsia"/>
          <w:bCs/>
          <w:color w:val="FF0000"/>
          <w:kern w:val="0"/>
          <w:sz w:val="24"/>
          <w:szCs w:val="24"/>
          <w:lang w:val="en-US" w:eastAsia="zh-CN" w:bidi="ar-SA"/>
        </w:rPr>
        <w:t xml:space="preserve"> </w:t>
      </w:r>
      <w:r>
        <w:rPr>
          <w:rFonts w:hint="eastAsia" w:asciiTheme="minorEastAsia" w:hAnsiTheme="minorEastAsia" w:eastAsiaTheme="minorEastAsia" w:cstheme="minorEastAsia"/>
          <w:bCs/>
          <w:color w:val="auto"/>
          <w:kern w:val="0"/>
          <w:sz w:val="24"/>
          <w:szCs w:val="24"/>
          <w:lang w:val="en-US" w:eastAsia="zh-CN" w:bidi="ar-SA"/>
        </w:rPr>
        <w:t>支持升级主流、旁流、微流EtCO2监测模块，旁流EtCO2监测模块支持升级顺磁氧监测技术进行氧气监测，水槽要求易用快速更换</w:t>
      </w:r>
    </w:p>
    <w:p w14:paraId="04EAA86B">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2.14支持升级模块，进行ICG参数监测，可无创监测患者连续心排量</w:t>
      </w:r>
    </w:p>
    <w:p w14:paraId="098987F4">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2.15支持升级模块，可与主流品牌的麻醉机、输注泵产品相连，实现麻醉机、输注泵设备的信息在监护仪上显示、存储、记录、打印或者用于参与计算。</w:t>
      </w:r>
    </w:p>
    <w:p w14:paraId="2828D209">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3.系统功能：</w:t>
      </w:r>
    </w:p>
    <w:p w14:paraId="75D2D371">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3.1具有图形化报警指示功能，看报警信息更容易,具有报警升级功能，当参数报警经过一定的时间未被处理或伴发了其他报警，就会升级到更高一个级别,具有特殊报警音，当监护仪在病人发生致命性参数报警时，发出特殊的报警音进行提示病人处于危急状态</w:t>
      </w:r>
    </w:p>
    <w:p w14:paraId="4F96D77A">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3.2支持≥100小时ST波形片段的存储与回顾,患者离开科室，监护仪状态由接收患者到解除患者后，患者数据不删除，支持在监护仪回顾历史病人数据,工作模式提供：监护模式、待机模式、抢救模式，体外循环模式、插管模式，夜间模式、隐私模式、演示模</w:t>
      </w:r>
    </w:p>
    <w:p w14:paraId="67FB181D">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3.3支持与除颤监护仪，遥测，生命体征监测仪、呼吸机混合联通至中心监护系统，实现护士站的集中管理，同时具备连接医院信息系统实现临床数据信息化管理需求.</w:t>
      </w:r>
    </w:p>
    <w:p w14:paraId="4FDD7547">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二、有创监护仪（5台）</w:t>
      </w:r>
    </w:p>
    <w:p w14:paraId="0A61E974">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1整机要求：</w:t>
      </w:r>
    </w:p>
    <w:p w14:paraId="121086A7">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 xml:space="preserve">1.1一体化便携监护仪，整机无风扇设计，配置提手,方便移动。 </w:t>
      </w:r>
    </w:p>
    <w:p w14:paraId="7B25E3E6">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1.2≥12.1英寸彩色液晶触摸屏，分辨率≥1280*800，≥10通道波形显示，屏幕标配最新电容屏非电阻屏，内置锂电池，插槽式设计，锂电池支持监护仪工作时间≥4小时；可选配2块高容量电池，工作时间≥8小时。提供说明书或检验报告证明。</w:t>
      </w:r>
    </w:p>
    <w:p w14:paraId="64E47463">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1.3安全规格：ECG, TEMP, SpO2 , NIBP监测参数抗电击程度为防除颤CF型    。</w:t>
      </w:r>
    </w:p>
    <w:p w14:paraId="2C2D6B60">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1.4监护仪清洁消毒维护支持的消毒剂≥40种，在厂家手册中清晰列举消毒剂的种类。</w:t>
      </w:r>
    </w:p>
    <w:p w14:paraId="5F5CEF28">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1.5配置无线发射功能，支持无线连接中央配置，可支持遥控器无线远程操作监护仪</w:t>
      </w:r>
    </w:p>
    <w:p w14:paraId="56E2CD3E">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2技术性能：</w:t>
      </w:r>
    </w:p>
    <w:p w14:paraId="3F0E5DEB">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2.1配置3/5导心电，呼吸，无创血压，血氧饱和度，脉搏和双通道体温参数监测，以上参数适用于成人、小儿、新生儿患者。配备2通道有创压监测，动脉压监测时支持同步监测PPV，适用于成人，小儿和新生儿，通过国家三类注册认证。</w:t>
      </w:r>
    </w:p>
    <w:p w14:paraId="3ECB6460">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2.2心电监护支持心率，ST段测量，心律失常分析，QT/QTc连续实时测量和对应报警功能，支持成人、小儿、新生儿患者。</w:t>
      </w:r>
    </w:p>
    <w:p w14:paraId="480F6319">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2.3支持房颤及室上性心律失常分析功能，如：室上性心动过速，SVCs/min等，标配支持≥27种实时心律失常分析，支持≥3通道心电波形同步分析，可进行多导心电分析</w:t>
      </w:r>
    </w:p>
    <w:p w14:paraId="0946CCB3">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2.4</w:t>
      </w:r>
      <w:bookmarkStart w:id="4" w:name="_GoBack"/>
      <w:r>
        <w:rPr>
          <w:rFonts w:hint="eastAsia" w:asciiTheme="minorEastAsia" w:hAnsiTheme="minorEastAsia" w:eastAsiaTheme="minorEastAsia" w:cstheme="minorEastAsia"/>
          <w:bCs/>
          <w:color w:val="auto"/>
          <w:kern w:val="0"/>
          <w:sz w:val="24"/>
          <w:szCs w:val="24"/>
          <w:lang w:val="en-US" w:eastAsia="zh-CN" w:bidi="ar-SA"/>
        </w:rPr>
        <w:t>支持升级提供过去24小时心电概览报告查看与打印，</w:t>
      </w:r>
      <w:bookmarkEnd w:id="4"/>
      <w:r>
        <w:rPr>
          <w:rFonts w:hint="eastAsia" w:asciiTheme="minorEastAsia" w:hAnsiTheme="minorEastAsia" w:eastAsiaTheme="minorEastAsia" w:cstheme="minorEastAsia"/>
          <w:bCs/>
          <w:color w:val="auto"/>
          <w:kern w:val="0"/>
          <w:sz w:val="24"/>
          <w:szCs w:val="24"/>
          <w:lang w:val="en-US" w:eastAsia="zh-CN" w:bidi="ar-SA"/>
        </w:rPr>
        <w:t>包括心率统计结果，心律失常统计结果，ST统计和QT/QTc统计结果。</w:t>
      </w:r>
    </w:p>
    <w:p w14:paraId="52DB9E35">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2.5提供SpO2,PR和PI参数的实时监测，适用于成人，小儿和新生儿。来自SpO2的PR测量范围：20-300</w:t>
      </w:r>
    </w:p>
    <w:p w14:paraId="719B0F34">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2.6支持指套式血氧探头，IPX7防水等级，支持液体浸泡消毒和清洁。</w:t>
      </w:r>
    </w:p>
    <w:p w14:paraId="51202ECA">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2.7提供手动，自动，连续、序列和整点5种测量模式，提供24小时血压统计结果</w:t>
      </w:r>
    </w:p>
    <w:p w14:paraId="373668AE">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2.8提供双通道体温和温差参数的监测, 并可根据需要更改体温通道标名。</w:t>
      </w:r>
    </w:p>
    <w:p w14:paraId="7AA7727D">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3系统功能：</w:t>
      </w:r>
    </w:p>
    <w:p w14:paraId="69125A37">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3.1支持所有监测参数报警限一键自动设置功能，满足医护团队快速管理患者报警需求，产品用户手册提供报警限自动设置规则，提供说明书或检验报告证明。</w:t>
      </w:r>
    </w:p>
    <w:p w14:paraId="39A0A32F">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3.2支持根据病人的参数趋势变化，可自动推送HR/PR、Sp02、RR 等参数的报警限建议（提供产品界面或产品使用说明书截图等证明资料)。</w:t>
      </w:r>
    </w:p>
    <w:p w14:paraId="7814BA09">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3.3具备参数组合报警功能，可对患者同时多个参数变化给出统一报警提示更好地反映病人状态，提供&gt;10个预设组合报警，并允许自定义&gt;10个组合报警(提供产品界面或产品使用说明书截图等证明资料)</w:t>
      </w:r>
    </w:p>
    <w:p w14:paraId="683C1495">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3.4具有图形化技术报警指示功能，帮助医护团队快速识别报警来源。</w:t>
      </w:r>
    </w:p>
    <w:p w14:paraId="706A2745">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3.5支持与除颤监护仪，遥测，生命体征监测仪、呼吸机混合联通至中心监护系统，实现护士站的集中管理，同时具备连接医院信息系统实现临床数据信息化管理需求.</w:t>
      </w:r>
    </w:p>
    <w:p w14:paraId="52C2B606">
      <w:pPr>
        <w:rPr>
          <w:rFonts w:hint="default"/>
          <w:lang w:val="en-US" w:eastAsia="zh-CN"/>
        </w:rPr>
      </w:pPr>
    </w:p>
    <w:p w14:paraId="3FD4C4D7">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配置清单：</w:t>
      </w:r>
    </w:p>
    <w:p w14:paraId="371CDBEC">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1、专用监护仪       2台</w:t>
      </w:r>
    </w:p>
    <w:p w14:paraId="2AAC6953">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2、有创监护仪       5台</w:t>
      </w:r>
    </w:p>
    <w:p w14:paraId="7ECF77FC">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3、转运模块         1台</w:t>
      </w:r>
    </w:p>
    <w:p w14:paraId="292AA1CF">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4、Picco模块        1块</w:t>
      </w:r>
    </w:p>
    <w:p w14:paraId="0EF5C11F">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5、中央监护站       1套</w:t>
      </w:r>
    </w:p>
    <w:p w14:paraId="15EC7489">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3C5278EB">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eastAsia="宋体" w:cs="宋体"/>
          <w:color w:val="auto"/>
          <w:sz w:val="24"/>
          <w:szCs w:val="24"/>
        </w:rPr>
        <w:t>1、运输、装卸、培训、安装调试：由中标人负责承担，最终通过使用科室、设备科及相关部门确认验收交付使用。</w:t>
      </w:r>
      <w:r>
        <w:rPr>
          <w:rFonts w:hint="eastAsia" w:ascii="宋体" w:hAnsi="宋体" w:eastAsia="宋体" w:cs="宋体"/>
          <w:color w:val="auto"/>
          <w:sz w:val="24"/>
          <w:szCs w:val="24"/>
        </w:rPr>
        <w:cr/>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2、交货时间：按</w:t>
      </w:r>
      <w:r>
        <w:rPr>
          <w:rFonts w:hint="eastAsia" w:ascii="宋体" w:hAnsi="宋体" w:cs="宋体"/>
          <w:color w:val="auto"/>
          <w:sz w:val="24"/>
          <w:szCs w:val="24"/>
          <w:lang w:val="en-US" w:eastAsia="zh-CN"/>
        </w:rPr>
        <w:t>合同约定的日期交货。</w:t>
      </w:r>
    </w:p>
    <w:p w14:paraId="490DFA9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、交货地点：娄底市中心医院</w:t>
      </w:r>
      <w:r>
        <w:rPr>
          <w:rFonts w:hint="eastAsia" w:ascii="宋体" w:hAnsi="宋体" w:cs="宋体"/>
          <w:color w:val="auto"/>
          <w:sz w:val="24"/>
          <w:szCs w:val="24"/>
          <w:lang w:val="en-US" w:eastAsia="zh-CN"/>
        </w:rPr>
        <w:t>指定地点</w:t>
      </w:r>
      <w:r>
        <w:rPr>
          <w:rFonts w:hint="eastAsia" w:ascii="宋体" w:hAnsi="宋体" w:eastAsia="宋体" w:cs="宋体"/>
          <w:color w:val="auto"/>
          <w:sz w:val="24"/>
          <w:szCs w:val="24"/>
        </w:rPr>
        <w:t>。</w:t>
      </w:r>
    </w:p>
    <w:p w14:paraId="2BEC70B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4</w:t>
      </w:r>
      <w:r>
        <w:rPr>
          <w:rFonts w:hint="eastAsia" w:ascii="宋体" w:hAnsi="宋体" w:eastAsia="宋体" w:cs="宋体"/>
          <w:color w:val="auto"/>
          <w:sz w:val="24"/>
          <w:szCs w:val="24"/>
        </w:rPr>
        <w:t>、付款方式：设备验收合格后，供应商将发票交到娄底市中心医院后按程序支付货款90%（按医院财务制度一般情况下4个月内支付、特殊情况下最多不超过6个月），甲方在设备验收合格</w:t>
      </w:r>
      <w:r>
        <w:rPr>
          <w:rFonts w:hint="eastAsia" w:ascii="宋体" w:hAnsi="宋体" w:eastAsia="宋体" w:cs="宋体"/>
          <w:color w:val="auto"/>
          <w:sz w:val="24"/>
          <w:szCs w:val="24"/>
          <w:lang w:val="en-US" w:eastAsia="zh-CN"/>
        </w:rPr>
        <w:t>满</w:t>
      </w:r>
      <w:r>
        <w:rPr>
          <w:rFonts w:hint="eastAsia" w:ascii="宋体" w:hAnsi="宋体" w:cs="宋体"/>
          <w:color w:val="auto"/>
          <w:sz w:val="24"/>
          <w:szCs w:val="24"/>
          <w:u w:val="none"/>
          <w:lang w:val="en-US" w:eastAsia="zh-CN"/>
        </w:rPr>
        <w:t>3年</w:t>
      </w:r>
      <w:r>
        <w:rPr>
          <w:rFonts w:hint="eastAsia" w:ascii="宋体" w:hAnsi="宋体" w:eastAsia="宋体" w:cs="宋体"/>
          <w:color w:val="auto"/>
          <w:sz w:val="24"/>
          <w:szCs w:val="24"/>
        </w:rPr>
        <w:t>后</w:t>
      </w:r>
      <w:r>
        <w:rPr>
          <w:rFonts w:hint="eastAsia" w:ascii="宋体" w:hAnsi="宋体" w:cs="宋体"/>
          <w:color w:val="auto"/>
          <w:sz w:val="24"/>
          <w:szCs w:val="24"/>
          <w:lang w:eastAsia="zh-CN"/>
        </w:rPr>
        <w:t>免息</w:t>
      </w:r>
      <w:r>
        <w:rPr>
          <w:rFonts w:hint="eastAsia" w:ascii="宋体" w:hAnsi="宋体" w:eastAsia="宋体" w:cs="宋体"/>
          <w:color w:val="auto"/>
          <w:sz w:val="24"/>
          <w:szCs w:val="24"/>
        </w:rPr>
        <w:t>支付10%余款给乙方。</w:t>
      </w:r>
      <w:r>
        <w:rPr>
          <w:rFonts w:hint="eastAsia" w:ascii="宋体" w:hAnsi="宋体" w:eastAsia="宋体" w:cs="宋体"/>
          <w:color w:val="auto"/>
          <w:sz w:val="24"/>
          <w:szCs w:val="24"/>
        </w:rPr>
        <w:cr/>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5、质保与售后：整机保修</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年，终身维修。</w:t>
      </w:r>
      <w:r>
        <w:rPr>
          <w:rFonts w:hint="eastAsia" w:ascii="宋体" w:hAnsi="宋体" w:cs="宋体"/>
          <w:color w:val="auto"/>
          <w:sz w:val="24"/>
          <w:szCs w:val="24"/>
          <w:lang w:val="en-US" w:eastAsia="zh-CN"/>
        </w:rPr>
        <w:t>验收时</w:t>
      </w:r>
      <w:r>
        <w:rPr>
          <w:rFonts w:hint="eastAsia" w:ascii="宋体" w:hAnsi="宋体" w:eastAsia="宋体" w:cs="宋体"/>
          <w:color w:val="auto"/>
          <w:sz w:val="24"/>
          <w:szCs w:val="24"/>
        </w:rPr>
        <w:t>出具原厂售后质保承诺书，质保期内每年巡检</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rPr>
        <w:t>次</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并提交巡检记录</w:t>
      </w:r>
      <w:r>
        <w:rPr>
          <w:rFonts w:hint="eastAsia" w:ascii="宋体" w:hAnsi="宋体" w:eastAsia="宋体" w:cs="宋体"/>
          <w:color w:val="auto"/>
          <w:sz w:val="24"/>
          <w:szCs w:val="24"/>
        </w:rPr>
        <w:t>。</w:t>
      </w:r>
      <w:r>
        <w:rPr>
          <w:rFonts w:hint="eastAsia" w:ascii="宋体" w:hAnsi="宋体" w:eastAsia="宋体" w:cs="宋体"/>
          <w:color w:val="auto"/>
          <w:sz w:val="24"/>
          <w:szCs w:val="24"/>
          <w:lang w:val="zh-CN" w:eastAsia="zh-CN"/>
        </w:rPr>
        <w:t>质保期内</w:t>
      </w:r>
      <w:r>
        <w:rPr>
          <w:rFonts w:hint="eastAsia" w:ascii="宋体" w:hAnsi="宋体" w:cs="宋体"/>
          <w:color w:val="auto"/>
          <w:sz w:val="24"/>
          <w:szCs w:val="24"/>
          <w:lang w:val="en-US" w:eastAsia="zh-CN"/>
        </w:rPr>
        <w:t>出现故障</w:t>
      </w:r>
      <w:r>
        <w:rPr>
          <w:rFonts w:hint="eastAsia" w:ascii="宋体" w:hAnsi="宋体" w:eastAsia="宋体" w:cs="宋体"/>
          <w:color w:val="auto"/>
          <w:sz w:val="24"/>
          <w:szCs w:val="24"/>
          <w:lang w:val="en-US" w:eastAsia="zh-CN"/>
        </w:rPr>
        <w:t>，24小时响应，响应后4小时上门服务</w:t>
      </w:r>
      <w:r>
        <w:rPr>
          <w:rFonts w:hint="eastAsia" w:ascii="宋体" w:hAnsi="宋体" w:cs="宋体"/>
          <w:color w:val="auto"/>
          <w:sz w:val="24"/>
          <w:szCs w:val="24"/>
          <w:lang w:val="en-US" w:eastAsia="zh-CN"/>
        </w:rPr>
        <w:t>。</w:t>
      </w:r>
    </w:p>
    <w:p w14:paraId="35A555D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6、在投标文件中必须提供相关佐证资料（加盖投标人公章的技术参数、技术白皮书、说明书、彩页），并在响应表中备注该条参数响应或正偏离的佐证资料所在页码。</w:t>
      </w:r>
    </w:p>
    <w:p w14:paraId="2CE7588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1CB5D53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465A4BF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1E32B99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29E1EE1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E16B41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193384F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1CF55D2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1E0BA88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7DE2E6B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64D07CF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382A4F5C">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440F77E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197CDF5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4167CC64">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0C751255">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70F0DD6A">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766D35D7">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7813B96E">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51242427">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6A6FA44E">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771EC395">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77516370">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7252753C">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121C1D32">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4967813F">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132ABF29">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20B00CF1">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7739FDB0">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公开招标</w:t>
      </w:r>
      <w:r>
        <w:rPr>
          <w:rFonts w:hint="eastAsia" w:ascii="宋体" w:hAnsi="宋体" w:eastAsia="宋体" w:cs="宋体"/>
          <w:color w:val="000000" w:themeColor="text1"/>
          <w:sz w:val="24"/>
          <w:szCs w:val="24"/>
          <w:highlight w:val="none"/>
          <w:lang w:val="en-US" w:eastAsia="zh-CN"/>
          <w14:textFill>
            <w14:solidFill>
              <w14:schemeClr w14:val="tx1"/>
            </w14:solidFill>
          </w14:textFill>
        </w:rPr>
        <w:t>☑医院公开挂网□医院院内议价□湖南政府采购电子卖场竞价）</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心电监护仪</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项目编号：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心电监护仪</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2CDC037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6A14106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9"/>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14:paraId="23FB0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14:paraId="2AD2B387">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noWrap w:val="0"/>
            <w:vAlign w:val="top"/>
          </w:tcPr>
          <w:p w14:paraId="109639E8">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noWrap w:val="0"/>
            <w:vAlign w:val="top"/>
          </w:tcPr>
          <w:p w14:paraId="1E0DCEDF">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noWrap w:val="0"/>
            <w:vAlign w:val="top"/>
          </w:tcPr>
          <w:p w14:paraId="3597521C">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noWrap w:val="0"/>
            <w:vAlign w:val="top"/>
          </w:tcPr>
          <w:p w14:paraId="65544300">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noWrap w:val="0"/>
            <w:vAlign w:val="top"/>
          </w:tcPr>
          <w:p w14:paraId="17A5B715">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090D3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14:paraId="7A17E7FD">
            <w:pPr>
              <w:keepNext w:val="0"/>
              <w:keepLines w:val="0"/>
              <w:pageBreakBefore w:val="0"/>
              <w:widowControl/>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心电监护仪</w:t>
            </w:r>
          </w:p>
        </w:tc>
        <w:tc>
          <w:tcPr>
            <w:tcW w:w="1220" w:type="dxa"/>
            <w:noWrap w:val="0"/>
            <w:vAlign w:val="center"/>
          </w:tcPr>
          <w:p w14:paraId="35783B46">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noWrap w:val="0"/>
            <w:vAlign w:val="top"/>
          </w:tcPr>
          <w:p w14:paraId="2AFB36F3">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14:paraId="78BAEA70">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noWrap w:val="0"/>
            <w:vAlign w:val="top"/>
          </w:tcPr>
          <w:p w14:paraId="61204844">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2</w:t>
            </w:r>
          </w:p>
        </w:tc>
        <w:tc>
          <w:tcPr>
            <w:tcW w:w="1654" w:type="dxa"/>
            <w:noWrap w:val="0"/>
            <w:vAlign w:val="top"/>
          </w:tcPr>
          <w:p w14:paraId="76C20399">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1BC19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14:paraId="39B0B817">
            <w:pPr>
              <w:keepNext w:val="0"/>
              <w:keepLines w:val="0"/>
              <w:pageBreakBefore w:val="0"/>
              <w:widowControl/>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心电监护仪</w:t>
            </w:r>
          </w:p>
        </w:tc>
        <w:tc>
          <w:tcPr>
            <w:tcW w:w="1220" w:type="dxa"/>
            <w:noWrap w:val="0"/>
            <w:vAlign w:val="center"/>
          </w:tcPr>
          <w:p w14:paraId="5DA2A2F7">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noWrap w:val="0"/>
            <w:vAlign w:val="top"/>
          </w:tcPr>
          <w:p w14:paraId="2C44943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14:paraId="4F86B82B">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noWrap w:val="0"/>
            <w:vAlign w:val="top"/>
          </w:tcPr>
          <w:p w14:paraId="5AD569BA">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5</w:t>
            </w:r>
          </w:p>
        </w:tc>
        <w:tc>
          <w:tcPr>
            <w:tcW w:w="1654" w:type="dxa"/>
            <w:noWrap w:val="0"/>
            <w:vAlign w:val="top"/>
          </w:tcPr>
          <w:p w14:paraId="181D8A6E">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73F20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14:paraId="55EFDB51">
            <w:pPr>
              <w:keepNext w:val="0"/>
              <w:keepLines w:val="0"/>
              <w:pageBreakBefore w:val="0"/>
              <w:widowControl/>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Picco模块</w:t>
            </w:r>
          </w:p>
        </w:tc>
        <w:tc>
          <w:tcPr>
            <w:tcW w:w="1220" w:type="dxa"/>
            <w:noWrap w:val="0"/>
            <w:vAlign w:val="center"/>
          </w:tcPr>
          <w:p w14:paraId="370EDCD7">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noWrap w:val="0"/>
            <w:vAlign w:val="top"/>
          </w:tcPr>
          <w:p w14:paraId="2018FF70">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14:paraId="4C7D064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noWrap w:val="0"/>
            <w:vAlign w:val="top"/>
          </w:tcPr>
          <w:p w14:paraId="277D8DE4">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p>
        </w:tc>
        <w:tc>
          <w:tcPr>
            <w:tcW w:w="1654" w:type="dxa"/>
            <w:noWrap w:val="0"/>
            <w:vAlign w:val="top"/>
          </w:tcPr>
          <w:p w14:paraId="2BCCA922">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55E47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14:paraId="6281A425">
            <w:pPr>
              <w:keepNext w:val="0"/>
              <w:keepLines w:val="0"/>
              <w:pageBreakBefore w:val="0"/>
              <w:widowControl/>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转运模块</w:t>
            </w:r>
          </w:p>
        </w:tc>
        <w:tc>
          <w:tcPr>
            <w:tcW w:w="1220" w:type="dxa"/>
            <w:noWrap w:val="0"/>
            <w:vAlign w:val="center"/>
          </w:tcPr>
          <w:p w14:paraId="0980B625">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noWrap w:val="0"/>
            <w:vAlign w:val="top"/>
          </w:tcPr>
          <w:p w14:paraId="6F1F4033">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14:paraId="4779BF50">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noWrap w:val="0"/>
            <w:vAlign w:val="top"/>
          </w:tcPr>
          <w:p w14:paraId="58D90D90">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p>
        </w:tc>
        <w:tc>
          <w:tcPr>
            <w:tcW w:w="1654" w:type="dxa"/>
            <w:noWrap w:val="0"/>
            <w:vAlign w:val="top"/>
          </w:tcPr>
          <w:p w14:paraId="784549FC">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5B79A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14:paraId="1D152691">
            <w:pPr>
              <w:keepNext w:val="0"/>
              <w:keepLines w:val="0"/>
              <w:pageBreakBefore w:val="0"/>
              <w:widowControl/>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中央监护站</w:t>
            </w:r>
          </w:p>
        </w:tc>
        <w:tc>
          <w:tcPr>
            <w:tcW w:w="1220" w:type="dxa"/>
            <w:noWrap w:val="0"/>
            <w:vAlign w:val="center"/>
          </w:tcPr>
          <w:p w14:paraId="293B6106">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noWrap w:val="0"/>
            <w:vAlign w:val="top"/>
          </w:tcPr>
          <w:p w14:paraId="6F45515D">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14:paraId="247B78F5">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noWrap w:val="0"/>
            <w:vAlign w:val="top"/>
          </w:tcPr>
          <w:p w14:paraId="58ACEFA4">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p>
        </w:tc>
        <w:tc>
          <w:tcPr>
            <w:tcW w:w="1654" w:type="dxa"/>
            <w:noWrap w:val="0"/>
            <w:vAlign w:val="top"/>
          </w:tcPr>
          <w:p w14:paraId="05A91793">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24F31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noWrap w:val="0"/>
            <w:vAlign w:val="top"/>
          </w:tcPr>
          <w:p w14:paraId="7881A21B">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67FB620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固定单价），不因物价、市场波动变更，约定价格包括且不限于设计费、材料费、人工费、安装费、包装费、运输费、装卸费、调试费、接口费、检测费、检验费、税费、保险费、售后服务费、附随服务费等在内所有费用。 </w:t>
      </w:r>
    </w:p>
    <w:p w14:paraId="2D69FB8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需要</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对接，因</w:t>
      </w:r>
      <w:r>
        <w:rPr>
          <w:rFonts w:hint="eastAsia" w:ascii="宋体" w:hAnsi="宋体" w:cs="宋体"/>
          <w:color w:val="000000" w:themeColor="text1"/>
          <w:sz w:val="24"/>
          <w:szCs w:val="24"/>
          <w:highlight w:val="none"/>
          <w14:textFill>
            <w14:solidFill>
              <w14:schemeClr w14:val="tx1"/>
            </w14:solidFill>
          </w14:textFill>
        </w:rPr>
        <w:t>对接产生的接口开发等</w:t>
      </w:r>
      <w:r>
        <w:rPr>
          <w:rFonts w:hint="eastAsia" w:ascii="宋体" w:hAnsi="宋体" w:cs="宋体"/>
          <w:color w:val="000000" w:themeColor="text1"/>
          <w:sz w:val="24"/>
          <w:szCs w:val="24"/>
          <w:highlight w:val="none"/>
          <w:lang w:eastAsia="zh-CN"/>
          <w14:textFill>
            <w14:solidFill>
              <w14:schemeClr w14:val="tx1"/>
            </w14:solidFill>
          </w14:textFill>
        </w:rPr>
        <w:t>乙方及第三方需要收取的</w:t>
      </w:r>
      <w:r>
        <w:rPr>
          <w:rFonts w:hint="eastAsia" w:ascii="宋体" w:hAnsi="宋体" w:cs="宋体"/>
          <w:color w:val="000000" w:themeColor="text1"/>
          <w:sz w:val="24"/>
          <w:szCs w:val="24"/>
          <w:highlight w:val="none"/>
          <w14:textFill>
            <w14:solidFill>
              <w14:schemeClr w14:val="tx1"/>
            </w14:solidFill>
          </w14:textFill>
        </w:rPr>
        <w:t>全部费用均由乙方承担。</w:t>
      </w:r>
    </w:p>
    <w:p w14:paraId="20DB05C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1C35E1F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日之前</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日之前</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40C1EED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629D02A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60DF4DA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17A6955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p>
    <w:p w14:paraId="1A8A024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0B4D6AF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0D502E8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69B269D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0AC3DBD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21EC60D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5BDEAF5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554F6DA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杨娟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51723DE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280A8EA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7E2E363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46D18DB5">
      <w:pPr>
        <w:keepNext w:val="0"/>
        <w:keepLines w:val="0"/>
        <w:pageBreakBefore w:val="0"/>
        <w:widowControl/>
        <w:numPr>
          <w:ilvl w:val="-1"/>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312A64C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14:paraId="43D9D314">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1B145DA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2BF97FC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3B11F1ED">
      <w:pPr>
        <w:keepNext w:val="0"/>
        <w:keepLines w:val="0"/>
        <w:pageBreakBefore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438ABEA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4C4BFC9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36A0BE0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649F8F7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6353C91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67D30C9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03CBE68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298280A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4FF167B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6AF23C8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3CEC28B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2A2CDE2F">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4E651C79">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7BFA271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14:paraId="1C3E413F">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79402AD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5AEDFBA4">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63E802F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2A4EF83C">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377F5DF5">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5571CA5D">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13FB2323">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535AFDCC">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625FAC61">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1260CA27">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5FA8BC84">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42514C0D">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68B8C3A5">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6AF9684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3CA20437">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133DFB52">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7D11E42A">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070A324F">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03914B83">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620C904E">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u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4BC69BE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无论甲方在任意时候（不限于本合同履行期间）发现存在违反本合同廉洁条款及供应商考核管理制度约定的行为，乙方均须向甲方一次性支付惩罚性违约金   .00元，如本金额与根据甲方供应商考核管理制度计算的违约金金额不一致，违约金金额以价高的为准。如乙方除需承担违反廉洁条款及供应商考核管理制度的违约责任外，同时存在其他违约行为，乙方仍须就其他违约行为承担相应违约责任。</w:t>
      </w:r>
    </w:p>
    <w:p w14:paraId="65C37CCD">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38A20BEB">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1281AC37">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262EA76F">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76529395">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4686812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 xml:space="preserve"> 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3311A5C5">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 xml:space="preserve"> 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2C6E5DBA">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667BE320">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07112094">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05EA3306">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法定代表人（签字）：    </w:t>
      </w:r>
    </w:p>
    <w:p w14:paraId="43198D3C">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5FE55E99">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6F33EB34">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7CCB8E3B">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1454C1DA">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10BAFAC3">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57DEBBA3">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50C278F8">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p w14:paraId="6450FBD0">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168CE20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17CB8BC1">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72001243">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C8AEFFF">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678A02A4">
      <w:pPr>
        <w:rPr>
          <w:rFonts w:hint="eastAsia" w:ascii="宋体" w:hAnsi="宋体" w:cs="宋体"/>
          <w:color w:val="auto"/>
        </w:rPr>
      </w:pPr>
    </w:p>
    <w:bookmarkEnd w:id="1"/>
    <w:p w14:paraId="35955023">
      <w:pPr>
        <w:rPr>
          <w:rFonts w:hint="eastAsia"/>
          <w:color w:val="auto"/>
        </w:rPr>
      </w:pPr>
    </w:p>
    <w:p w14:paraId="7269B6E8">
      <w:pPr>
        <w:jc w:val="center"/>
        <w:rPr>
          <w:b/>
          <w:color w:val="auto"/>
          <w:sz w:val="24"/>
        </w:rPr>
      </w:pPr>
      <w:r>
        <w:rPr>
          <w:b/>
          <w:color w:val="auto"/>
          <w:sz w:val="28"/>
          <w:szCs w:val="28"/>
        </w:rPr>
        <w:t>第一部分、开标一览表</w:t>
      </w:r>
    </w:p>
    <w:p w14:paraId="3272D69C">
      <w:pPr>
        <w:jc w:val="center"/>
        <w:rPr>
          <w:b/>
          <w:color w:val="auto"/>
          <w:sz w:val="24"/>
        </w:rPr>
      </w:pPr>
    </w:p>
    <w:p w14:paraId="298B673A">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016E4D9E">
      <w:pPr>
        <w:pStyle w:val="15"/>
        <w:rPr>
          <w:color w:val="auto"/>
        </w:rPr>
      </w:pPr>
    </w:p>
    <w:p w14:paraId="31B03680">
      <w:pPr>
        <w:adjustRightInd w:val="0"/>
        <w:snapToGrid w:val="0"/>
        <w:spacing w:line="360" w:lineRule="auto"/>
        <w:jc w:val="center"/>
        <w:rPr>
          <w:rFonts w:hint="eastAsia" w:ascii="宋体" w:hAnsi="宋体" w:cs="宋体"/>
          <w:b/>
          <w:color w:val="auto"/>
          <w:sz w:val="28"/>
          <w:szCs w:val="28"/>
        </w:rPr>
      </w:pPr>
    </w:p>
    <w:p w14:paraId="68AFC285">
      <w:pPr>
        <w:adjustRightInd w:val="0"/>
        <w:snapToGrid w:val="0"/>
        <w:spacing w:line="360" w:lineRule="auto"/>
        <w:jc w:val="center"/>
        <w:rPr>
          <w:rFonts w:hint="eastAsia" w:ascii="宋体" w:hAnsi="宋体" w:cs="宋体"/>
          <w:b/>
          <w:color w:val="auto"/>
          <w:sz w:val="28"/>
          <w:szCs w:val="28"/>
        </w:rPr>
      </w:pPr>
    </w:p>
    <w:p w14:paraId="7C2866BF">
      <w:pPr>
        <w:adjustRightInd w:val="0"/>
        <w:snapToGrid w:val="0"/>
        <w:spacing w:line="360" w:lineRule="auto"/>
        <w:jc w:val="center"/>
        <w:rPr>
          <w:rFonts w:hint="eastAsia" w:ascii="宋体" w:hAnsi="宋体" w:cs="宋体"/>
          <w:b/>
          <w:color w:val="auto"/>
          <w:sz w:val="28"/>
          <w:szCs w:val="28"/>
        </w:rPr>
      </w:pPr>
    </w:p>
    <w:p w14:paraId="615E578F">
      <w:pPr>
        <w:adjustRightInd w:val="0"/>
        <w:snapToGrid w:val="0"/>
        <w:spacing w:line="360" w:lineRule="auto"/>
        <w:jc w:val="center"/>
        <w:rPr>
          <w:rFonts w:hint="eastAsia" w:ascii="宋体" w:hAnsi="宋体" w:cs="宋体"/>
          <w:b/>
          <w:color w:val="auto"/>
          <w:sz w:val="28"/>
          <w:szCs w:val="28"/>
        </w:rPr>
      </w:pPr>
    </w:p>
    <w:p w14:paraId="066856DF">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31413198">
      <w:pPr>
        <w:pStyle w:val="14"/>
        <w:rPr>
          <w:rFonts w:hint="eastAsia"/>
          <w:lang w:eastAsia="zh-CN"/>
        </w:rPr>
      </w:pPr>
    </w:p>
    <w:p w14:paraId="019592F8">
      <w:pPr>
        <w:adjustRightInd w:val="0"/>
        <w:snapToGrid w:val="0"/>
        <w:spacing w:line="360" w:lineRule="auto"/>
        <w:jc w:val="center"/>
        <w:rPr>
          <w:rFonts w:hint="eastAsia" w:ascii="宋体" w:hAnsi="宋体" w:cs="宋体"/>
          <w:b/>
          <w:color w:val="auto"/>
          <w:sz w:val="24"/>
          <w:szCs w:val="20"/>
        </w:rPr>
      </w:pPr>
    </w:p>
    <w:p w14:paraId="7AB1D287">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19D9A224">
      <w:pPr>
        <w:adjustRightInd w:val="0"/>
        <w:snapToGrid w:val="0"/>
        <w:spacing w:line="360" w:lineRule="auto"/>
        <w:rPr>
          <w:rFonts w:hint="eastAsia" w:ascii="宋体" w:hAnsi="宋体" w:cs="宋体"/>
          <w:b/>
          <w:color w:val="auto"/>
          <w:sz w:val="28"/>
          <w:szCs w:val="28"/>
        </w:rPr>
      </w:pPr>
    </w:p>
    <w:p w14:paraId="39DAF27A">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685B83AE">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3588009D">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6A2C43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7A7A2B04">
      <w:pPr>
        <w:adjustRightInd w:val="0"/>
        <w:snapToGrid w:val="0"/>
        <w:spacing w:line="360" w:lineRule="auto"/>
        <w:ind w:firstLine="480" w:firstLineChars="200"/>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182B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3AD6F504">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6ADBF687">
      <w:pPr>
        <w:adjustRightInd w:val="0"/>
        <w:snapToGrid w:val="0"/>
        <w:spacing w:line="360" w:lineRule="auto"/>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78169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21BD33DC">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388ADC4B">
      <w:pPr>
        <w:adjustRightInd w:val="0"/>
        <w:snapToGrid w:val="0"/>
        <w:spacing w:line="360" w:lineRule="auto"/>
        <w:rPr>
          <w:rFonts w:hint="eastAsia" w:ascii="宋体" w:hAnsi="宋体" w:cs="宋体"/>
          <w:color w:val="auto"/>
          <w:sz w:val="24"/>
        </w:rPr>
      </w:pPr>
    </w:p>
    <w:p w14:paraId="4EF410B2">
      <w:pPr>
        <w:adjustRightInd w:val="0"/>
        <w:snapToGrid w:val="0"/>
        <w:spacing w:line="360" w:lineRule="auto"/>
        <w:rPr>
          <w:rFonts w:hint="eastAsia" w:ascii="宋体" w:hAnsi="宋体" w:cs="宋体"/>
          <w:color w:val="auto"/>
          <w:sz w:val="24"/>
        </w:rPr>
      </w:pPr>
    </w:p>
    <w:p w14:paraId="01D6C8A2">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209E3B">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166B55A9">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33DE4FC9">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5BD972E1">
      <w:pPr>
        <w:adjustRightInd w:val="0"/>
        <w:snapToGrid w:val="0"/>
        <w:spacing w:line="360" w:lineRule="auto"/>
        <w:rPr>
          <w:rFonts w:hint="eastAsia" w:ascii="宋体" w:hAnsi="宋体" w:cs="宋体"/>
          <w:b/>
          <w:color w:val="auto"/>
          <w:sz w:val="28"/>
          <w:szCs w:val="28"/>
        </w:rPr>
      </w:pPr>
    </w:p>
    <w:p w14:paraId="0D7AFB46">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46A4900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100809F4">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14:paraId="6935A6F5">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2987EC0D">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3051D8A1">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4A80FF2A">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67D8786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4B07B463">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076F71C1">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103CB81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789DC03F">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B6ACE0B">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18C54B1B">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41C88097">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443A3CF4">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241ED5E">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76F255">
      <w:pPr>
        <w:adjustRightInd w:val="0"/>
        <w:snapToGrid w:val="0"/>
        <w:spacing w:line="360" w:lineRule="auto"/>
        <w:jc w:val="center"/>
        <w:rPr>
          <w:rFonts w:hint="eastAsia" w:ascii="宋体" w:hAnsi="宋体" w:cs="宋体"/>
          <w:b/>
          <w:color w:val="auto"/>
          <w:sz w:val="24"/>
          <w:szCs w:val="20"/>
        </w:rPr>
      </w:pPr>
    </w:p>
    <w:p w14:paraId="30B66BA7">
      <w:pPr>
        <w:adjustRightInd w:val="0"/>
        <w:snapToGrid w:val="0"/>
        <w:spacing w:line="360" w:lineRule="auto"/>
        <w:rPr>
          <w:rFonts w:hint="eastAsia" w:ascii="宋体" w:hAnsi="宋体" w:cs="宋体"/>
          <w:b/>
          <w:color w:val="auto"/>
          <w:sz w:val="24"/>
          <w:szCs w:val="20"/>
        </w:rPr>
      </w:pPr>
    </w:p>
    <w:p w14:paraId="0D50DA8D">
      <w:pPr>
        <w:adjustRightInd w:val="0"/>
        <w:snapToGrid w:val="0"/>
        <w:spacing w:line="360" w:lineRule="auto"/>
        <w:rPr>
          <w:rFonts w:hint="eastAsia" w:ascii="宋体" w:hAnsi="宋体" w:cs="宋体"/>
          <w:b/>
          <w:color w:val="auto"/>
          <w:sz w:val="24"/>
          <w:szCs w:val="20"/>
        </w:rPr>
      </w:pPr>
    </w:p>
    <w:p w14:paraId="062C0D10">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3750B7E5">
      <w:pPr>
        <w:adjustRightInd w:val="0"/>
        <w:snapToGrid w:val="0"/>
        <w:spacing w:line="360" w:lineRule="auto"/>
        <w:jc w:val="center"/>
        <w:rPr>
          <w:rFonts w:hint="eastAsia" w:ascii="宋体" w:hAnsi="宋体" w:cs="宋体"/>
          <w:b/>
          <w:color w:val="auto"/>
          <w:sz w:val="24"/>
          <w:szCs w:val="20"/>
        </w:rPr>
      </w:pPr>
    </w:p>
    <w:p w14:paraId="05A0F057">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18699FB8">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717CFF33">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6C69E6B1">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0F4CDC25">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6ADFC4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330DDAE5">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16C398B4">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8BA54E5">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70A514C0">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25DC19E3">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03859723">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62B1F785">
      <w:pPr>
        <w:jc w:val="left"/>
        <w:rPr>
          <w:rFonts w:hint="eastAsia" w:ascii="宋体" w:hAnsi="宋体" w:eastAsia="宋体" w:cs="Times New Roman"/>
          <w:b w:val="0"/>
          <w:bCs w:val="0"/>
          <w:color w:val="auto"/>
          <w:kern w:val="2"/>
          <w:sz w:val="24"/>
          <w:szCs w:val="24"/>
          <w:lang w:val="en-US" w:eastAsia="zh-CN" w:bidi="ar-SA"/>
        </w:rPr>
      </w:pPr>
    </w:p>
    <w:p w14:paraId="47FB3CFC">
      <w:pPr>
        <w:jc w:val="left"/>
        <w:rPr>
          <w:rFonts w:hint="eastAsia" w:ascii="宋体" w:hAnsi="宋体" w:eastAsia="宋体" w:cs="Times New Roman"/>
          <w:b w:val="0"/>
          <w:bCs w:val="0"/>
          <w:color w:val="auto"/>
          <w:kern w:val="2"/>
          <w:sz w:val="24"/>
          <w:szCs w:val="24"/>
          <w:lang w:val="en-US" w:eastAsia="zh-CN" w:bidi="ar-SA"/>
        </w:rPr>
      </w:pPr>
    </w:p>
    <w:p w14:paraId="59901A1D">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09F4F3D5">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0BE5A702">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14:paraId="510721AA">
      <w:pPr>
        <w:pStyle w:val="14"/>
        <w:rPr>
          <w:rFonts w:hint="eastAsia"/>
          <w:lang w:eastAsia="zh-CN"/>
        </w:rPr>
      </w:pPr>
    </w:p>
    <w:p w14:paraId="06DB0CA7">
      <w:pPr>
        <w:spacing w:before="120" w:beforeLines="50" w:after="120" w:afterLines="50" w:line="276" w:lineRule="auto"/>
        <w:jc w:val="center"/>
        <w:rPr>
          <w:b/>
          <w:color w:val="auto"/>
          <w:sz w:val="24"/>
        </w:rPr>
      </w:pPr>
      <w:r>
        <w:rPr>
          <w:b/>
          <w:color w:val="auto"/>
          <w:sz w:val="24"/>
        </w:rPr>
        <w:t>采购需求响应/偏离表</w:t>
      </w:r>
    </w:p>
    <w:p w14:paraId="7D7E809A">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9"/>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398148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1B026CC">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20CD9C14">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14:paraId="13A17B38">
            <w:pPr>
              <w:adjustRightInd w:val="0"/>
              <w:snapToGrid w:val="0"/>
              <w:spacing w:before="50" w:line="360" w:lineRule="auto"/>
              <w:jc w:val="center"/>
              <w:rPr>
                <w:color w:val="auto"/>
              </w:rPr>
            </w:pPr>
            <w:r>
              <w:rPr>
                <w:color w:val="auto"/>
              </w:rPr>
              <w:t>招标文件要求</w:t>
            </w:r>
          </w:p>
        </w:tc>
        <w:tc>
          <w:tcPr>
            <w:tcW w:w="962" w:type="pct"/>
            <w:noWrap w:val="0"/>
            <w:vAlign w:val="top"/>
          </w:tcPr>
          <w:p w14:paraId="64365777">
            <w:pPr>
              <w:adjustRightInd w:val="0"/>
              <w:snapToGrid w:val="0"/>
              <w:spacing w:before="50" w:line="360" w:lineRule="auto"/>
              <w:jc w:val="center"/>
              <w:rPr>
                <w:color w:val="auto"/>
              </w:rPr>
            </w:pPr>
            <w:r>
              <w:rPr>
                <w:color w:val="auto"/>
              </w:rPr>
              <w:t>投标文件应答</w:t>
            </w:r>
          </w:p>
        </w:tc>
        <w:tc>
          <w:tcPr>
            <w:tcW w:w="905" w:type="pct"/>
            <w:noWrap w:val="0"/>
            <w:vAlign w:val="center"/>
          </w:tcPr>
          <w:p w14:paraId="715E9691">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66CE6E">
            <w:pPr>
              <w:adjustRightInd w:val="0"/>
              <w:snapToGrid w:val="0"/>
              <w:spacing w:before="50" w:line="360" w:lineRule="auto"/>
              <w:ind w:left="-88" w:leftChars="-42"/>
              <w:jc w:val="center"/>
              <w:rPr>
                <w:color w:val="auto"/>
                <w:szCs w:val="21"/>
              </w:rPr>
            </w:pPr>
            <w:r>
              <w:rPr>
                <w:color w:val="auto"/>
                <w:szCs w:val="21"/>
              </w:rPr>
              <w:t>偏离说明</w:t>
            </w:r>
          </w:p>
        </w:tc>
      </w:tr>
      <w:tr w14:paraId="6CB965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18991144">
            <w:pPr>
              <w:adjustRightInd w:val="0"/>
              <w:snapToGrid w:val="0"/>
              <w:spacing w:before="50" w:line="360" w:lineRule="auto"/>
              <w:ind w:left="-88" w:leftChars="-42"/>
              <w:jc w:val="center"/>
              <w:rPr>
                <w:color w:val="auto"/>
                <w:szCs w:val="21"/>
              </w:rPr>
            </w:pPr>
          </w:p>
        </w:tc>
        <w:tc>
          <w:tcPr>
            <w:tcW w:w="1123" w:type="pct"/>
            <w:noWrap w:val="0"/>
            <w:vAlign w:val="center"/>
          </w:tcPr>
          <w:p w14:paraId="6A90705A">
            <w:pPr>
              <w:adjustRightInd w:val="0"/>
              <w:snapToGrid w:val="0"/>
              <w:spacing w:before="50" w:line="360" w:lineRule="auto"/>
              <w:ind w:left="-88" w:leftChars="-42"/>
              <w:jc w:val="center"/>
              <w:rPr>
                <w:color w:val="auto"/>
                <w:szCs w:val="21"/>
              </w:rPr>
            </w:pPr>
          </w:p>
        </w:tc>
        <w:tc>
          <w:tcPr>
            <w:tcW w:w="1000" w:type="pct"/>
            <w:noWrap w:val="0"/>
            <w:vAlign w:val="center"/>
          </w:tcPr>
          <w:p w14:paraId="04271540">
            <w:pPr>
              <w:adjustRightInd w:val="0"/>
              <w:snapToGrid w:val="0"/>
              <w:spacing w:before="50" w:line="360" w:lineRule="auto"/>
              <w:ind w:left="-88" w:leftChars="-42"/>
              <w:jc w:val="center"/>
              <w:rPr>
                <w:color w:val="auto"/>
                <w:szCs w:val="21"/>
              </w:rPr>
            </w:pPr>
          </w:p>
        </w:tc>
        <w:tc>
          <w:tcPr>
            <w:tcW w:w="962" w:type="pct"/>
            <w:noWrap w:val="0"/>
            <w:vAlign w:val="center"/>
          </w:tcPr>
          <w:p w14:paraId="5E622A19">
            <w:pPr>
              <w:adjustRightInd w:val="0"/>
              <w:snapToGrid w:val="0"/>
              <w:spacing w:before="50" w:line="360" w:lineRule="auto"/>
              <w:ind w:left="-88" w:leftChars="-42"/>
              <w:jc w:val="center"/>
              <w:rPr>
                <w:color w:val="auto"/>
                <w:szCs w:val="21"/>
              </w:rPr>
            </w:pPr>
          </w:p>
        </w:tc>
        <w:tc>
          <w:tcPr>
            <w:tcW w:w="905" w:type="pct"/>
            <w:noWrap w:val="0"/>
            <w:vAlign w:val="center"/>
          </w:tcPr>
          <w:p w14:paraId="2738D904">
            <w:pPr>
              <w:adjustRightInd w:val="0"/>
              <w:snapToGrid w:val="0"/>
              <w:spacing w:before="50" w:line="360" w:lineRule="auto"/>
              <w:ind w:left="-88" w:leftChars="-42"/>
              <w:jc w:val="center"/>
              <w:rPr>
                <w:color w:val="auto"/>
                <w:szCs w:val="21"/>
              </w:rPr>
            </w:pPr>
          </w:p>
        </w:tc>
        <w:tc>
          <w:tcPr>
            <w:tcW w:w="634" w:type="pct"/>
            <w:noWrap w:val="0"/>
            <w:vAlign w:val="center"/>
          </w:tcPr>
          <w:p w14:paraId="3CC471ED">
            <w:pPr>
              <w:adjustRightInd w:val="0"/>
              <w:snapToGrid w:val="0"/>
              <w:spacing w:before="50" w:line="360" w:lineRule="auto"/>
              <w:ind w:left="-88" w:leftChars="-42"/>
              <w:jc w:val="center"/>
              <w:rPr>
                <w:color w:val="auto"/>
                <w:szCs w:val="21"/>
              </w:rPr>
            </w:pPr>
          </w:p>
        </w:tc>
      </w:tr>
      <w:tr w14:paraId="1D24B0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11589AC7">
            <w:pPr>
              <w:adjustRightInd w:val="0"/>
              <w:snapToGrid w:val="0"/>
              <w:spacing w:before="50" w:line="360" w:lineRule="auto"/>
              <w:ind w:left="-88" w:leftChars="-42"/>
              <w:jc w:val="center"/>
              <w:rPr>
                <w:color w:val="auto"/>
                <w:szCs w:val="21"/>
              </w:rPr>
            </w:pPr>
          </w:p>
        </w:tc>
        <w:tc>
          <w:tcPr>
            <w:tcW w:w="1123" w:type="pct"/>
            <w:noWrap w:val="0"/>
            <w:vAlign w:val="center"/>
          </w:tcPr>
          <w:p w14:paraId="0034D4B1">
            <w:pPr>
              <w:adjustRightInd w:val="0"/>
              <w:snapToGrid w:val="0"/>
              <w:spacing w:before="50" w:line="360" w:lineRule="auto"/>
              <w:ind w:left="-88" w:leftChars="-42"/>
              <w:jc w:val="center"/>
              <w:rPr>
                <w:color w:val="auto"/>
                <w:szCs w:val="21"/>
              </w:rPr>
            </w:pPr>
          </w:p>
        </w:tc>
        <w:tc>
          <w:tcPr>
            <w:tcW w:w="1000" w:type="pct"/>
            <w:noWrap w:val="0"/>
            <w:vAlign w:val="center"/>
          </w:tcPr>
          <w:p w14:paraId="4C6754B5">
            <w:pPr>
              <w:adjustRightInd w:val="0"/>
              <w:snapToGrid w:val="0"/>
              <w:spacing w:before="50" w:line="360" w:lineRule="auto"/>
              <w:ind w:left="-88" w:leftChars="-42"/>
              <w:jc w:val="center"/>
              <w:rPr>
                <w:color w:val="auto"/>
                <w:szCs w:val="21"/>
              </w:rPr>
            </w:pPr>
          </w:p>
        </w:tc>
        <w:tc>
          <w:tcPr>
            <w:tcW w:w="962" w:type="pct"/>
            <w:noWrap w:val="0"/>
            <w:vAlign w:val="center"/>
          </w:tcPr>
          <w:p w14:paraId="1A255DC2">
            <w:pPr>
              <w:adjustRightInd w:val="0"/>
              <w:snapToGrid w:val="0"/>
              <w:spacing w:before="50" w:line="360" w:lineRule="auto"/>
              <w:ind w:left="-88" w:leftChars="-42"/>
              <w:jc w:val="center"/>
              <w:rPr>
                <w:color w:val="auto"/>
                <w:szCs w:val="21"/>
              </w:rPr>
            </w:pPr>
          </w:p>
        </w:tc>
        <w:tc>
          <w:tcPr>
            <w:tcW w:w="905" w:type="pct"/>
            <w:noWrap w:val="0"/>
            <w:vAlign w:val="center"/>
          </w:tcPr>
          <w:p w14:paraId="1C19F4F4">
            <w:pPr>
              <w:adjustRightInd w:val="0"/>
              <w:snapToGrid w:val="0"/>
              <w:spacing w:before="50" w:line="360" w:lineRule="auto"/>
              <w:ind w:left="-88" w:leftChars="-42"/>
              <w:jc w:val="center"/>
              <w:rPr>
                <w:color w:val="auto"/>
                <w:szCs w:val="21"/>
              </w:rPr>
            </w:pPr>
          </w:p>
        </w:tc>
        <w:tc>
          <w:tcPr>
            <w:tcW w:w="634" w:type="pct"/>
            <w:noWrap w:val="0"/>
            <w:vAlign w:val="center"/>
          </w:tcPr>
          <w:p w14:paraId="1DB72303">
            <w:pPr>
              <w:adjustRightInd w:val="0"/>
              <w:snapToGrid w:val="0"/>
              <w:spacing w:before="50" w:line="360" w:lineRule="auto"/>
              <w:ind w:left="-88" w:leftChars="-42"/>
              <w:jc w:val="center"/>
              <w:rPr>
                <w:color w:val="auto"/>
                <w:szCs w:val="21"/>
              </w:rPr>
            </w:pPr>
          </w:p>
        </w:tc>
      </w:tr>
      <w:tr w14:paraId="69E4D2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64DFE605">
            <w:pPr>
              <w:adjustRightInd w:val="0"/>
              <w:snapToGrid w:val="0"/>
              <w:spacing w:before="50" w:line="360" w:lineRule="auto"/>
              <w:ind w:left="-88" w:leftChars="-42"/>
              <w:jc w:val="center"/>
              <w:rPr>
                <w:color w:val="auto"/>
                <w:szCs w:val="21"/>
              </w:rPr>
            </w:pPr>
          </w:p>
        </w:tc>
        <w:tc>
          <w:tcPr>
            <w:tcW w:w="1123" w:type="pct"/>
            <w:noWrap w:val="0"/>
            <w:vAlign w:val="center"/>
          </w:tcPr>
          <w:p w14:paraId="63674615">
            <w:pPr>
              <w:adjustRightInd w:val="0"/>
              <w:snapToGrid w:val="0"/>
              <w:spacing w:before="50" w:line="360" w:lineRule="auto"/>
              <w:ind w:left="-88" w:leftChars="-42"/>
              <w:jc w:val="center"/>
              <w:rPr>
                <w:color w:val="auto"/>
                <w:szCs w:val="21"/>
              </w:rPr>
            </w:pPr>
          </w:p>
        </w:tc>
        <w:tc>
          <w:tcPr>
            <w:tcW w:w="1000" w:type="pct"/>
            <w:noWrap w:val="0"/>
            <w:vAlign w:val="center"/>
          </w:tcPr>
          <w:p w14:paraId="4F855F41">
            <w:pPr>
              <w:adjustRightInd w:val="0"/>
              <w:snapToGrid w:val="0"/>
              <w:spacing w:before="50" w:line="360" w:lineRule="auto"/>
              <w:ind w:left="-88" w:leftChars="-42"/>
              <w:jc w:val="center"/>
              <w:rPr>
                <w:color w:val="auto"/>
                <w:szCs w:val="21"/>
              </w:rPr>
            </w:pPr>
          </w:p>
        </w:tc>
        <w:tc>
          <w:tcPr>
            <w:tcW w:w="962" w:type="pct"/>
            <w:noWrap w:val="0"/>
            <w:vAlign w:val="center"/>
          </w:tcPr>
          <w:p w14:paraId="7D19764F">
            <w:pPr>
              <w:adjustRightInd w:val="0"/>
              <w:snapToGrid w:val="0"/>
              <w:spacing w:before="50" w:line="360" w:lineRule="auto"/>
              <w:ind w:left="-88" w:leftChars="-42"/>
              <w:jc w:val="center"/>
              <w:rPr>
                <w:color w:val="auto"/>
                <w:szCs w:val="21"/>
              </w:rPr>
            </w:pPr>
          </w:p>
        </w:tc>
        <w:tc>
          <w:tcPr>
            <w:tcW w:w="905" w:type="pct"/>
            <w:noWrap w:val="0"/>
            <w:vAlign w:val="center"/>
          </w:tcPr>
          <w:p w14:paraId="387E2D80">
            <w:pPr>
              <w:adjustRightInd w:val="0"/>
              <w:snapToGrid w:val="0"/>
              <w:spacing w:before="50" w:line="360" w:lineRule="auto"/>
              <w:ind w:left="-88" w:leftChars="-42"/>
              <w:jc w:val="center"/>
              <w:rPr>
                <w:color w:val="auto"/>
                <w:szCs w:val="21"/>
              </w:rPr>
            </w:pPr>
          </w:p>
        </w:tc>
        <w:tc>
          <w:tcPr>
            <w:tcW w:w="634" w:type="pct"/>
            <w:noWrap w:val="0"/>
            <w:vAlign w:val="center"/>
          </w:tcPr>
          <w:p w14:paraId="1F8879A3">
            <w:pPr>
              <w:adjustRightInd w:val="0"/>
              <w:snapToGrid w:val="0"/>
              <w:spacing w:before="50" w:line="360" w:lineRule="auto"/>
              <w:ind w:left="-88" w:leftChars="-42"/>
              <w:jc w:val="center"/>
              <w:rPr>
                <w:color w:val="auto"/>
                <w:szCs w:val="21"/>
              </w:rPr>
            </w:pPr>
          </w:p>
        </w:tc>
      </w:tr>
      <w:tr w14:paraId="0DF1FE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749B4687">
            <w:pPr>
              <w:rPr>
                <w:b/>
                <w:color w:val="auto"/>
              </w:rPr>
            </w:pPr>
          </w:p>
        </w:tc>
      </w:tr>
    </w:tbl>
    <w:p w14:paraId="697F230A">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5716E13">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章中采购需求填写本表，逐条应答；</w:t>
      </w:r>
    </w:p>
    <w:p w14:paraId="139ED8A9">
      <w:pPr>
        <w:adjustRightInd w:val="0"/>
        <w:snapToGrid w:val="0"/>
        <w:spacing w:before="50" w:line="360" w:lineRule="auto"/>
        <w:ind w:left="-88" w:leftChars="-42"/>
        <w:rPr>
          <w:rFonts w:hint="eastAsia"/>
          <w:color w:val="auto"/>
          <w:sz w:val="24"/>
        </w:rPr>
      </w:pPr>
      <w:r>
        <w:rPr>
          <w:color w:val="auto"/>
          <w:sz w:val="24"/>
        </w:rPr>
        <w:t>（2）如不提供此表，则视为投标人不满足招标文件第三章的所有条款要求，其投标无效；</w:t>
      </w:r>
    </w:p>
    <w:p w14:paraId="106FD182">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3136756E">
      <w:pPr>
        <w:pStyle w:val="15"/>
        <w:rPr>
          <w:color w:val="auto"/>
        </w:rPr>
      </w:pPr>
    </w:p>
    <w:p w14:paraId="73D1C885">
      <w:pPr>
        <w:pStyle w:val="14"/>
        <w:rPr>
          <w:rFonts w:hint="eastAsia"/>
          <w:lang w:eastAsia="zh-CN"/>
        </w:rPr>
      </w:pPr>
    </w:p>
    <w:p w14:paraId="6FE04B10"/>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Arial Unicode MS"/>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6D478A">
    <w:pPr>
      <w:pStyle w:val="5"/>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364D75">
                          <w:pPr>
                            <w:pStyle w:val="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1364D75">
                    <w:pPr>
                      <w:pStyle w:val="5"/>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04AA74B6">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915414">
    <w:pPr>
      <w:pStyle w:val="5"/>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6C99FB">
                          <w:pPr>
                            <w:pStyle w:val="5"/>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D6C99FB">
                    <w:pPr>
                      <w:pStyle w:val="5"/>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6A2EFDEE">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A413EB">
    <w:pPr>
      <w:pStyle w:val="6"/>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4653F41"/>
    <w:rsid w:val="04B72FC8"/>
    <w:rsid w:val="06064044"/>
    <w:rsid w:val="06E91EC4"/>
    <w:rsid w:val="086F75C9"/>
    <w:rsid w:val="0A3F4F3C"/>
    <w:rsid w:val="0E331420"/>
    <w:rsid w:val="0EDD1643"/>
    <w:rsid w:val="0FB9029C"/>
    <w:rsid w:val="0FC44DAF"/>
    <w:rsid w:val="10914EF9"/>
    <w:rsid w:val="12080B62"/>
    <w:rsid w:val="12994AC5"/>
    <w:rsid w:val="129F447F"/>
    <w:rsid w:val="12C86253"/>
    <w:rsid w:val="15060AC8"/>
    <w:rsid w:val="15675A4C"/>
    <w:rsid w:val="15F259FD"/>
    <w:rsid w:val="17F91BB8"/>
    <w:rsid w:val="1AF56B46"/>
    <w:rsid w:val="1B7A31D2"/>
    <w:rsid w:val="1E79119D"/>
    <w:rsid w:val="1F334F58"/>
    <w:rsid w:val="1F796B24"/>
    <w:rsid w:val="1FE73549"/>
    <w:rsid w:val="2038045E"/>
    <w:rsid w:val="20B41DA7"/>
    <w:rsid w:val="272B6E6C"/>
    <w:rsid w:val="27CF2BB7"/>
    <w:rsid w:val="28E81B29"/>
    <w:rsid w:val="29B45A41"/>
    <w:rsid w:val="2C0A2E19"/>
    <w:rsid w:val="2C7642D0"/>
    <w:rsid w:val="2DD77C64"/>
    <w:rsid w:val="2DDA1E78"/>
    <w:rsid w:val="2DE00B8C"/>
    <w:rsid w:val="2EAC037F"/>
    <w:rsid w:val="2EB67A5C"/>
    <w:rsid w:val="302741D2"/>
    <w:rsid w:val="308B184D"/>
    <w:rsid w:val="33384C93"/>
    <w:rsid w:val="340F06E9"/>
    <w:rsid w:val="372F7378"/>
    <w:rsid w:val="39182A16"/>
    <w:rsid w:val="397348CD"/>
    <w:rsid w:val="3B3B544D"/>
    <w:rsid w:val="3B654F2B"/>
    <w:rsid w:val="3BB72BAE"/>
    <w:rsid w:val="3C8A61A4"/>
    <w:rsid w:val="3D5E17FF"/>
    <w:rsid w:val="3E1F0DA4"/>
    <w:rsid w:val="3E584E51"/>
    <w:rsid w:val="3EBE1ADE"/>
    <w:rsid w:val="403B4B34"/>
    <w:rsid w:val="414D7889"/>
    <w:rsid w:val="41BB0BAE"/>
    <w:rsid w:val="429A4992"/>
    <w:rsid w:val="435B161D"/>
    <w:rsid w:val="43B25DAC"/>
    <w:rsid w:val="43BB3965"/>
    <w:rsid w:val="44771DFD"/>
    <w:rsid w:val="45D569C3"/>
    <w:rsid w:val="46E52F77"/>
    <w:rsid w:val="4AEE1A11"/>
    <w:rsid w:val="4B7F39F4"/>
    <w:rsid w:val="4BAE646F"/>
    <w:rsid w:val="4CAC1559"/>
    <w:rsid w:val="4D754257"/>
    <w:rsid w:val="4DCD6AB3"/>
    <w:rsid w:val="50216DCD"/>
    <w:rsid w:val="50540C20"/>
    <w:rsid w:val="51AC28BD"/>
    <w:rsid w:val="53984ABA"/>
    <w:rsid w:val="581A7C72"/>
    <w:rsid w:val="583A4BD7"/>
    <w:rsid w:val="58E10166"/>
    <w:rsid w:val="59C74B1F"/>
    <w:rsid w:val="5D484535"/>
    <w:rsid w:val="611B6B1B"/>
    <w:rsid w:val="62C222C2"/>
    <w:rsid w:val="632D7C40"/>
    <w:rsid w:val="64133D6A"/>
    <w:rsid w:val="676A25AA"/>
    <w:rsid w:val="678E4F5D"/>
    <w:rsid w:val="680E122C"/>
    <w:rsid w:val="6A4E1D63"/>
    <w:rsid w:val="6D3A6E62"/>
    <w:rsid w:val="6DE375E4"/>
    <w:rsid w:val="6E8E5287"/>
    <w:rsid w:val="6FBE332C"/>
    <w:rsid w:val="71554367"/>
    <w:rsid w:val="71584067"/>
    <w:rsid w:val="735201FF"/>
    <w:rsid w:val="737B50A4"/>
    <w:rsid w:val="73F40E72"/>
    <w:rsid w:val="74566F5C"/>
    <w:rsid w:val="7500222B"/>
    <w:rsid w:val="750117A8"/>
    <w:rsid w:val="755B2270"/>
    <w:rsid w:val="76920D75"/>
    <w:rsid w:val="77423DFF"/>
    <w:rsid w:val="783B5EA9"/>
    <w:rsid w:val="79EB699D"/>
    <w:rsid w:val="7B0620DE"/>
    <w:rsid w:val="7BBF44BB"/>
    <w:rsid w:val="7BF15CE4"/>
    <w:rsid w:val="7C3A27E5"/>
    <w:rsid w:val="7D9727DD"/>
    <w:rsid w:val="7EFB4F6E"/>
    <w:rsid w:val="7F1A5E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0">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4">
    <w:name w:val="Body Text Indent"/>
    <w:basedOn w:val="1"/>
    <w:autoRedefine/>
    <w:qFormat/>
    <w:uiPriority w:val="99"/>
    <w:pPr>
      <w:spacing w:line="400" w:lineRule="exact"/>
      <w:ind w:left="630"/>
    </w:pPr>
    <w:rPr>
      <w:rFonts w:ascii="楷体_GB2312"/>
      <w:sz w:val="30"/>
      <w:szCs w:val="30"/>
    </w:rPr>
  </w:style>
  <w:style w:type="paragraph" w:styleId="5">
    <w:name w:val="footer"/>
    <w:basedOn w:val="1"/>
    <w:autoRedefine/>
    <w:qFormat/>
    <w:uiPriority w:val="0"/>
    <w:pPr>
      <w:tabs>
        <w:tab w:val="center" w:pos="4153"/>
        <w:tab w:val="right" w:pos="8306"/>
      </w:tabs>
      <w:snapToGrid w:val="0"/>
      <w:jc w:val="left"/>
    </w:pPr>
    <w:rPr>
      <w:kern w:val="0"/>
      <w:sz w:val="18"/>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autoRedefine/>
    <w:qFormat/>
    <w:uiPriority w:val="0"/>
    <w:rPr>
      <w:sz w:val="24"/>
    </w:rPr>
  </w:style>
  <w:style w:type="paragraph" w:styleId="8">
    <w:name w:val="Body Text First Indent 2"/>
    <w:basedOn w:val="4"/>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customStyle="1" w:styleId="11">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2">
    <w:name w:val="Default"/>
    <w:next w:val="13"/>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3">
    <w:name w:val="大标题"/>
    <w:basedOn w:val="1"/>
    <w:next w:val="8"/>
    <w:autoRedefine/>
    <w:qFormat/>
    <w:uiPriority w:val="0"/>
    <w:pPr>
      <w:jc w:val="center"/>
    </w:pPr>
    <w:rPr>
      <w:rFonts w:ascii="Arial" w:hAnsi="Arial" w:eastAsia="宋体"/>
      <w:b/>
      <w:sz w:val="28"/>
      <w:szCs w:val="24"/>
    </w:rPr>
  </w:style>
  <w:style w:type="paragraph" w:customStyle="1" w:styleId="14">
    <w:name w:val="列出段落1"/>
    <w:basedOn w:val="1"/>
    <w:autoRedefine/>
    <w:qFormat/>
    <w:uiPriority w:val="99"/>
    <w:pPr>
      <w:ind w:firstLine="420" w:firstLineChars="200"/>
    </w:pPr>
  </w:style>
  <w:style w:type="paragraph" w:customStyle="1" w:styleId="15">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6">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9978</Words>
  <Characters>10591</Characters>
  <Lines>0</Lines>
  <Paragraphs>0</Paragraphs>
  <TotalTime>2</TotalTime>
  <ScaleCrop>false</ScaleCrop>
  <LinksUpToDate>false</LinksUpToDate>
  <CharactersWithSpaces>11610</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2024-09-04T07:56:04Z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3505A2AB25E048A4A9B0E6A6741CA1BA_11</vt:lpwstr>
  </property>
</Properties>
</file>