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9FF9F5">
      <w:pPr>
        <w:pStyle w:val="13"/>
        <w:snapToGrid w:val="0"/>
        <w:jc w:val="center"/>
        <w:rPr>
          <w:rFonts w:hint="eastAsia" w:ascii="Arial" w:hAnsi="Arial" w:eastAsia="方正小标宋简体" w:cs="Arial"/>
          <w:color w:val="auto"/>
          <w:sz w:val="72"/>
          <w:szCs w:val="72"/>
          <w:lang w:eastAsia="zh-CN"/>
        </w:rPr>
      </w:pPr>
      <w:bookmarkStart w:id="0" w:name="_Toc16523570"/>
    </w:p>
    <w:p w14:paraId="38648228">
      <w:pPr>
        <w:pStyle w:val="13"/>
        <w:tabs>
          <w:tab w:val="left" w:pos="312"/>
        </w:tabs>
        <w:snapToGrid w:val="0"/>
        <w:spacing w:line="288" w:lineRule="auto"/>
        <w:jc w:val="center"/>
        <w:rPr>
          <w:rFonts w:ascii="Arial" w:hAnsi="Arial" w:eastAsia="方正小标宋简体" w:cs="Arial"/>
          <w:sz w:val="72"/>
          <w:szCs w:val="72"/>
        </w:rPr>
      </w:pPr>
      <w:r>
        <w:rPr>
          <w:rFonts w:hint="eastAsia" w:ascii="Arial" w:hAnsi="Arial" w:eastAsia="方正小标宋简体" w:cs="Arial"/>
          <w:sz w:val="72"/>
          <w:szCs w:val="72"/>
        </w:rPr>
        <w:t>娄底市中心医院院内</w:t>
      </w:r>
    </w:p>
    <w:p w14:paraId="573B70A2">
      <w:pPr>
        <w:pStyle w:val="13"/>
        <w:snapToGrid w:val="0"/>
        <w:jc w:val="center"/>
        <w:rPr>
          <w:rFonts w:ascii="Arial" w:hAnsi="Arial" w:eastAsia="方正小标宋简体" w:cs="Arial"/>
          <w:sz w:val="72"/>
          <w:szCs w:val="72"/>
        </w:rPr>
      </w:pPr>
    </w:p>
    <w:p w14:paraId="48AC3AC9">
      <w:pPr>
        <w:pStyle w:val="13"/>
        <w:snapToGrid w:val="0"/>
        <w:jc w:val="center"/>
        <w:rPr>
          <w:rFonts w:ascii="Arial" w:hAnsi="Arial" w:eastAsia="方正小标宋简体" w:cs="Arial"/>
          <w:sz w:val="72"/>
          <w:szCs w:val="72"/>
        </w:rPr>
      </w:pPr>
      <w:r>
        <w:rPr>
          <w:rFonts w:hint="eastAsia" w:ascii="Arial" w:hAnsi="Arial" w:eastAsia="方正小标宋简体" w:cs="Arial"/>
          <w:sz w:val="72"/>
          <w:szCs w:val="72"/>
        </w:rPr>
        <w:t>招</w:t>
      </w:r>
    </w:p>
    <w:p w14:paraId="2F41BA1F">
      <w:pPr>
        <w:pStyle w:val="13"/>
        <w:snapToGrid w:val="0"/>
        <w:jc w:val="center"/>
        <w:rPr>
          <w:rFonts w:ascii="Arial" w:hAnsi="Arial" w:eastAsia="方正小标宋简体" w:cs="Arial"/>
          <w:sz w:val="72"/>
          <w:szCs w:val="72"/>
        </w:rPr>
      </w:pPr>
    </w:p>
    <w:p w14:paraId="5AFE286C">
      <w:pPr>
        <w:pStyle w:val="13"/>
        <w:snapToGrid w:val="0"/>
        <w:jc w:val="center"/>
        <w:rPr>
          <w:rFonts w:ascii="Arial" w:hAnsi="Arial" w:eastAsia="方正小标宋简体" w:cs="Arial"/>
          <w:sz w:val="72"/>
          <w:szCs w:val="72"/>
        </w:rPr>
      </w:pPr>
      <w:r>
        <w:rPr>
          <w:rFonts w:ascii="Arial" w:hAnsi="Arial" w:eastAsia="方正小标宋简体" w:cs="Arial"/>
          <w:sz w:val="72"/>
          <w:szCs w:val="72"/>
        </w:rPr>
        <w:t>标</w:t>
      </w:r>
    </w:p>
    <w:p w14:paraId="65B9AA34">
      <w:pPr>
        <w:pStyle w:val="13"/>
        <w:snapToGrid w:val="0"/>
        <w:jc w:val="center"/>
        <w:rPr>
          <w:rFonts w:ascii="Arial" w:hAnsi="Arial" w:eastAsia="方正小标宋简体" w:cs="Arial"/>
          <w:sz w:val="72"/>
          <w:szCs w:val="72"/>
        </w:rPr>
      </w:pPr>
    </w:p>
    <w:p w14:paraId="705E1937">
      <w:pPr>
        <w:pStyle w:val="13"/>
        <w:snapToGrid w:val="0"/>
        <w:jc w:val="center"/>
        <w:rPr>
          <w:rFonts w:ascii="Arial" w:hAnsi="Arial" w:eastAsia="方正小标宋简体" w:cs="Arial"/>
          <w:sz w:val="72"/>
          <w:szCs w:val="72"/>
        </w:rPr>
      </w:pPr>
      <w:r>
        <w:rPr>
          <w:rFonts w:ascii="Arial" w:hAnsi="Arial" w:eastAsia="方正小标宋简体" w:cs="Arial"/>
          <w:sz w:val="72"/>
          <w:szCs w:val="72"/>
        </w:rPr>
        <w:t>文</w:t>
      </w:r>
    </w:p>
    <w:p w14:paraId="33ECBBA1">
      <w:pPr>
        <w:pStyle w:val="13"/>
        <w:snapToGrid w:val="0"/>
        <w:jc w:val="center"/>
        <w:rPr>
          <w:rFonts w:ascii="Arial" w:hAnsi="Arial" w:eastAsia="方正小标宋简体" w:cs="Arial"/>
          <w:sz w:val="72"/>
          <w:szCs w:val="72"/>
        </w:rPr>
      </w:pPr>
    </w:p>
    <w:p w14:paraId="7E5286DA">
      <w:pPr>
        <w:pStyle w:val="13"/>
        <w:snapToGrid w:val="0"/>
        <w:jc w:val="center"/>
        <w:rPr>
          <w:rFonts w:ascii="Arial" w:hAnsi="Arial" w:eastAsia="方正小标宋简体" w:cs="Arial"/>
          <w:sz w:val="36"/>
          <w:szCs w:val="36"/>
        </w:rPr>
      </w:pPr>
      <w:r>
        <w:rPr>
          <w:rFonts w:ascii="Arial" w:hAnsi="Arial" w:eastAsia="方正小标宋简体" w:cs="Arial"/>
          <w:sz w:val="72"/>
          <w:szCs w:val="72"/>
        </w:rPr>
        <w:t>件</w:t>
      </w:r>
    </w:p>
    <w:p w14:paraId="39A969AB">
      <w:pPr>
        <w:pStyle w:val="13"/>
        <w:snapToGrid w:val="0"/>
        <w:jc w:val="center"/>
        <w:rPr>
          <w:rFonts w:ascii="Arial" w:hAnsi="Arial" w:cs="Arial"/>
          <w:sz w:val="32"/>
          <w:szCs w:val="32"/>
        </w:rPr>
      </w:pPr>
    </w:p>
    <w:p w14:paraId="62F2469F">
      <w:pPr>
        <w:pStyle w:val="13"/>
        <w:snapToGrid w:val="0"/>
        <w:jc w:val="center"/>
        <w:rPr>
          <w:rFonts w:ascii="Arial" w:hAnsi="Arial" w:cs="Arial"/>
          <w:sz w:val="32"/>
          <w:szCs w:val="32"/>
        </w:rPr>
      </w:pPr>
    </w:p>
    <w:p w14:paraId="4BC89937">
      <w:pPr>
        <w:pStyle w:val="13"/>
        <w:snapToGrid w:val="0"/>
        <w:jc w:val="center"/>
        <w:rPr>
          <w:rFonts w:ascii="Arial" w:hAnsi="Arial" w:cs="Arial"/>
          <w:sz w:val="32"/>
          <w:szCs w:val="32"/>
        </w:rPr>
      </w:pPr>
    </w:p>
    <w:p w14:paraId="3869A1F9">
      <w:pPr>
        <w:spacing w:line="360" w:lineRule="auto"/>
        <w:rPr>
          <w:rFonts w:hint="eastAsia"/>
          <w:bCs/>
          <w:sz w:val="32"/>
          <w:szCs w:val="32"/>
        </w:rPr>
      </w:pPr>
    </w:p>
    <w:p w14:paraId="70E4300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娄底市中心医院设备科医疗器械招标文件</w:t>
      </w:r>
    </w:p>
    <w:p w14:paraId="7CC6C844">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（MMC代谢一体机等一批医院公开挂网</w:t>
      </w:r>
      <w:r>
        <w:rPr>
          <w:rFonts w:hint="eastAsia" w:ascii="Times New Roman" w:hAnsi="Times New Roman" w:eastAsia="宋体" w:cs="Times New Roman"/>
          <w:b/>
          <w:bCs/>
          <w:kern w:val="44"/>
          <w:sz w:val="32"/>
          <w:szCs w:val="32"/>
          <w:lang w:val="en-US" w:eastAsia="zh-CN" w:bidi="ar-SA"/>
        </w:rPr>
        <w:t>）</w:t>
      </w:r>
    </w:p>
    <w:p w14:paraId="4A443BAD">
      <w:pPr>
        <w:spacing w:line="320" w:lineRule="exact"/>
        <w:jc w:val="left"/>
        <w:rPr>
          <w:sz w:val="24"/>
        </w:rPr>
      </w:pPr>
    </w:p>
    <w:p w14:paraId="459DFE34">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四</w:t>
      </w:r>
      <w:r>
        <w:rPr>
          <w:rFonts w:hint="eastAsia" w:ascii="宋体" w:hAnsi="宋体" w:cs="宋体"/>
          <w:bCs/>
          <w:sz w:val="32"/>
          <w:szCs w:val="32"/>
        </w:rPr>
        <w:t>年</w:t>
      </w:r>
      <w:r>
        <w:rPr>
          <w:rFonts w:hint="eastAsia" w:ascii="宋体" w:hAnsi="宋体" w:cs="宋体"/>
          <w:bCs/>
          <w:sz w:val="32"/>
          <w:szCs w:val="32"/>
          <w:lang w:eastAsia="zh-CN"/>
        </w:rPr>
        <w:t>十</w:t>
      </w:r>
      <w:r>
        <w:rPr>
          <w:rFonts w:hint="eastAsia" w:ascii="宋体" w:hAnsi="宋体" w:cs="宋体"/>
          <w:bCs/>
          <w:sz w:val="32"/>
          <w:szCs w:val="32"/>
        </w:rPr>
        <w:t>月</w:t>
      </w:r>
    </w:p>
    <w:p w14:paraId="3DF298CF">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78BCE36">
      <w:pPr>
        <w:pStyle w:val="13"/>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MMC代谢一体机等一批</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7DFD7C9D">
      <w:pPr>
        <w:pStyle w:val="13"/>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0FCC5D9E">
      <w:pPr>
        <w:pStyle w:val="13"/>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MMC代谢一体机等一批</w:t>
      </w:r>
      <w:r>
        <w:rPr>
          <w:rFonts w:hint="eastAsia" w:asciiTheme="minorEastAsia" w:hAnsiTheme="minorEastAsia" w:eastAsiaTheme="minorEastAsia" w:cstheme="minorEastAsia"/>
          <w:b w:val="0"/>
          <w:bCs/>
          <w:color w:val="auto"/>
          <w:sz w:val="24"/>
          <w:szCs w:val="24"/>
          <w:lang w:val="en-US" w:eastAsia="zh-CN"/>
        </w:rPr>
        <w:t>项目</w:t>
      </w:r>
    </w:p>
    <w:p w14:paraId="3276E07E">
      <w:pPr>
        <w:pStyle w:val="13"/>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49BC8245">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w:t>
      </w:r>
      <w:r>
        <w:rPr>
          <w:rFonts w:hint="eastAsia" w:asciiTheme="minorEastAsia" w:hAnsiTheme="minorEastAsia" w:eastAsiaTheme="minorEastAsia" w:cstheme="minorEastAsia"/>
          <w:bCs/>
          <w:color w:val="auto"/>
          <w:sz w:val="24"/>
          <w:szCs w:val="24"/>
          <w:lang w:val="en-US" w:eastAsia="zh-CN"/>
        </w:rPr>
        <w:t>公开挂网，最低评标价法，在满足所有参数的条件下，报价最低者中标，如有多个并列最低价，则由并列最低价投标人再次报价，直至出现最低报价为止。</w:t>
      </w:r>
    </w:p>
    <w:bookmarkEnd w:id="0"/>
    <w:p w14:paraId="402B7625">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3DBB2980">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570B3804">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093EB20C">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09909680">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4F8B8C5A">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34CCEB7B">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6C8CC2F9">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69BEBEE6">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43A6D269">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7A57AA98">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五、招标人地址和联系方法：</w:t>
      </w:r>
    </w:p>
    <w:p w14:paraId="47957F6C">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1、招标人名称：娄底市中心医院</w:t>
      </w:r>
    </w:p>
    <w:p w14:paraId="5E9D5EE3">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5D403F60">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3、招标人地址：娄底市长青中街51号</w:t>
      </w:r>
    </w:p>
    <w:p w14:paraId="414FFAFB">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09F85A01">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01894323">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2A027E2E">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1.2、资格评审时，投标人资格条件不符合国家有关规定或者招标文件要求的，或者拒不按照要求对投标文件进行澄清、说明或补正，或者其说明补正无法证明其为合格投标人的；</w:t>
      </w:r>
    </w:p>
    <w:p w14:paraId="59CBD39C">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468F37FE">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5F33EC6D">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67A01F63">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1.6、投标文件存在弄虚作假或者隐瞒事实，或者未按照招标文件要求如实提供有关情况和文件，以及证明资料且对投标人有利的，应当否决其投标。被列为中标候选人的，应当取消其中标候选人资格。</w:t>
      </w:r>
    </w:p>
    <w:p w14:paraId="0E3F68E5">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2、有下列情形之一的，招标人将重新招标：</w:t>
      </w:r>
    </w:p>
    <w:p w14:paraId="3AAF1B83">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2B96893A">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2118BD0D">
      <w:pPr>
        <w:pStyle w:val="14"/>
        <w:rPr>
          <w:rFonts w:hint="eastAsia"/>
          <w:lang w:val="en-US" w:eastAsia="zh-CN"/>
        </w:rPr>
      </w:pPr>
    </w:p>
    <w:p w14:paraId="5F32D497">
      <w:pPr>
        <w:pStyle w:val="14"/>
        <w:jc w:val="both"/>
        <w:rPr>
          <w:rFonts w:hint="default"/>
          <w:lang w:val="en-US" w:eastAsia="zh-CN"/>
        </w:rPr>
      </w:pPr>
    </w:p>
    <w:p w14:paraId="635E3C4F">
      <w:pPr>
        <w:pStyle w:val="13"/>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33CDC084">
      <w:pPr>
        <w:pStyle w:val="13"/>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31C0F474">
      <w:pPr>
        <w:pStyle w:val="14"/>
        <w:rPr>
          <w:rFonts w:hint="eastAsia" w:ascii="宋体" w:hAnsi="宋体" w:cs="宋体"/>
          <w:b/>
          <w:bCs/>
          <w:color w:val="auto"/>
          <w:sz w:val="44"/>
          <w:szCs w:val="44"/>
          <w:lang w:val="en-US" w:eastAsia="zh-CN"/>
        </w:rPr>
      </w:pPr>
    </w:p>
    <w:p w14:paraId="07F2E394">
      <w:pPr>
        <w:pStyle w:val="9"/>
        <w:rPr>
          <w:rFonts w:hint="eastAsia" w:ascii="宋体" w:hAnsi="宋体" w:cs="宋体"/>
          <w:b/>
          <w:bCs/>
          <w:color w:val="auto"/>
          <w:sz w:val="44"/>
          <w:szCs w:val="44"/>
          <w:lang w:val="en-US" w:eastAsia="zh-CN"/>
        </w:rPr>
      </w:pPr>
    </w:p>
    <w:p w14:paraId="434F5413">
      <w:pPr>
        <w:rPr>
          <w:rFonts w:hint="eastAsia" w:ascii="宋体" w:hAnsi="宋体" w:cs="宋体"/>
          <w:b/>
          <w:bCs/>
          <w:color w:val="auto"/>
          <w:sz w:val="44"/>
          <w:szCs w:val="44"/>
          <w:lang w:val="en-US" w:eastAsia="zh-CN"/>
        </w:rPr>
      </w:pPr>
    </w:p>
    <w:p w14:paraId="68FA8AD2">
      <w:pPr>
        <w:pStyle w:val="12"/>
        <w:rPr>
          <w:rFonts w:hint="eastAsia"/>
          <w:lang w:val="en-US" w:eastAsia="zh-CN"/>
        </w:rPr>
      </w:pPr>
    </w:p>
    <w:p w14:paraId="34ED3F8C">
      <w:pPr>
        <w:pStyle w:val="2"/>
        <w:rPr>
          <w:rFonts w:hint="eastAsia" w:ascii="宋体" w:hAnsi="宋体" w:cs="宋体"/>
          <w:b/>
          <w:bCs/>
          <w:color w:val="auto"/>
          <w:sz w:val="44"/>
          <w:szCs w:val="44"/>
          <w:lang w:val="en-US" w:eastAsia="zh-CN"/>
        </w:rPr>
      </w:pPr>
    </w:p>
    <w:p w14:paraId="54DFEABB">
      <w:pPr>
        <w:rPr>
          <w:rFonts w:hint="eastAsia" w:ascii="宋体" w:hAnsi="宋体" w:cs="宋体"/>
          <w:b/>
          <w:bCs/>
          <w:color w:val="auto"/>
          <w:sz w:val="44"/>
          <w:szCs w:val="44"/>
          <w:lang w:val="en-US" w:eastAsia="zh-CN"/>
        </w:rPr>
      </w:pPr>
    </w:p>
    <w:p w14:paraId="5E2865C9">
      <w:pPr>
        <w:rPr>
          <w:rFonts w:hint="eastAsia" w:ascii="宋体" w:hAnsi="宋体" w:cs="宋体"/>
          <w:b/>
          <w:bCs/>
          <w:color w:val="auto"/>
          <w:sz w:val="44"/>
          <w:szCs w:val="44"/>
          <w:lang w:val="en-US" w:eastAsia="zh-CN"/>
        </w:rPr>
      </w:pPr>
    </w:p>
    <w:p w14:paraId="14722D58">
      <w:pPr>
        <w:rPr>
          <w:rFonts w:hint="eastAsia"/>
          <w:lang w:val="en-US" w:eastAsia="zh-CN"/>
        </w:rPr>
      </w:pPr>
    </w:p>
    <w:p w14:paraId="2ED97A37">
      <w:pPr>
        <w:pStyle w:val="13"/>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47BE2FE1">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9B06BC7">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0"/>
        <w:tblW w:w="930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006"/>
      </w:tblGrid>
      <w:tr w14:paraId="4EA4F4D4">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F9C0B55">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1F42EB5">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设备名称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FF4BAB8">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615B0447">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85CA71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是否允许进口设备投标</w:t>
            </w:r>
          </w:p>
        </w:tc>
      </w:tr>
      <w:tr w14:paraId="52361B5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88937FB">
            <w:pPr>
              <w:jc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5419E1A">
            <w:pPr>
              <w:spacing w:beforeLines="0" w:afterLines="0"/>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MMC代谢一体机</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189DD55">
            <w:pPr>
              <w:jc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4CEB9E90">
            <w:pPr>
              <w:jc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13</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790B58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bidi="ar-SA"/>
              </w:rPr>
              <w:t>否</w:t>
            </w:r>
          </w:p>
        </w:tc>
      </w:tr>
      <w:tr w14:paraId="3C2673D0">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71BA8C">
            <w:pPr>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B39A20D">
            <w:pPr>
              <w:spacing w:beforeLines="0" w:afterLines="0"/>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动脉硬化检测仪</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F814CEF">
            <w:pPr>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61565B51">
            <w:pPr>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11.8</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3E88BB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否</w:t>
            </w:r>
          </w:p>
        </w:tc>
      </w:tr>
      <w:tr w14:paraId="1BC15780">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4B1F9E5">
            <w:pPr>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23CB865">
            <w:pPr>
              <w:spacing w:beforeLines="0" w:afterLines="0"/>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体检秤</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9CA6729">
            <w:pPr>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1CD9749">
            <w:pPr>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1.8</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8B634D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否</w:t>
            </w:r>
          </w:p>
        </w:tc>
      </w:tr>
      <w:tr w14:paraId="262AA76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13D3392">
            <w:pPr>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CA983F6">
            <w:pPr>
              <w:spacing w:beforeLines="0" w:afterLines="0"/>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医用电子血压计</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F8EAB46">
            <w:pPr>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6EA94D45">
            <w:pPr>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0.4</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918F7C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否</w:t>
            </w:r>
          </w:p>
        </w:tc>
      </w:tr>
      <w:tr w14:paraId="3825AA7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FABAAB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1203441E">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合计</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B4E4FF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57E9F6A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27</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0EB8CE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p>
        </w:tc>
      </w:tr>
    </w:tbl>
    <w:p w14:paraId="3059BB23">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5314F96F">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45526A5F">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6775EB3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05CE981F">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14:paraId="590046E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一、MMC代谢一体机（MMC信息系统平台）</w:t>
      </w:r>
    </w:p>
    <w:p w14:paraId="69BE4C7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1.设备连接：可拆分模块集成一体连接。</w:t>
      </w:r>
    </w:p>
    <w:p w14:paraId="2E75A65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2.电源：AC220V--AC240V</w:t>
      </w:r>
    </w:p>
    <w:p w14:paraId="1B60429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3.功能要求：可承载设备：动脉硬化检测仪、内脏脂肪测量装置、心电图机、血管内皮功能检测仪、眼底相机等。</w:t>
      </w:r>
    </w:p>
    <w:p w14:paraId="21FD763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4.电动诊查床：通过电动按钮实现床面水平移动，在不同设备间切换测量位置。</w:t>
      </w:r>
    </w:p>
    <w:p w14:paraId="2A60F5A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5.主机采用MMC元素。</w:t>
      </w:r>
    </w:p>
    <w:p w14:paraId="337A349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6.工作站一体PC。</w:t>
      </w:r>
    </w:p>
    <w:p w14:paraId="6D33107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7.数据输出，通过网口与局域网连接。</w:t>
      </w:r>
    </w:p>
    <w:p w14:paraId="66D04F5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8.电源及布线：统一电源接入，线路隐蔽，仪器模块布局合理方便操作。</w:t>
      </w:r>
    </w:p>
    <w:p w14:paraId="0DD9DC5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p>
    <w:p w14:paraId="5A6CE96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二、动脉硬化检测仪</w:t>
      </w:r>
    </w:p>
    <w:p w14:paraId="2311020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A、设备用途</w:t>
      </w:r>
    </w:p>
    <w:p w14:paraId="3A18D1A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MMC中心用于全身动脉硬化和动脉粥样硬化的早期检测和血管疾病的早期检测与预后评估，并结合脉搏波波形图、baPWV/ABI血管疾病危险因子诊疗分析形象示意图、ABI形象示意图等多个信息，为临床提供重要的多样化的解决方案，为患者提供详细的个性化诊断。</w:t>
      </w:r>
    </w:p>
    <w:p w14:paraId="5AD591D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B、主要检测功能</w:t>
      </w:r>
    </w:p>
    <w:p w14:paraId="637A36B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1、血管狭窄检测单元：用于下肢动脉粥样硬化全自动检测及心血管事件发病风险的预测，主要检测参数：ABI； UT；%MAP。</w:t>
      </w:r>
    </w:p>
    <w:p w14:paraId="1D3F2E2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2、血管硬化检测单元：用于全身动脉硬化的早期检测和临床药物评价的重要检测指标，主要检测参数：baPWV(左)baPWV(右)。baPWV指数检测范围800--2600cm/s</w:t>
      </w:r>
    </w:p>
    <w:p w14:paraId="5160A6A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3ˎ上臂测量范围：收缩压8.0kpa~33.3kpa(60mmHg~250mmHg)</w:t>
      </w:r>
    </w:p>
    <w:p w14:paraId="4267879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 xml:space="preserve">                舒张压5.3kpa~29.3kpa(40mmHg~220mmHg)</w:t>
      </w:r>
    </w:p>
    <w:p w14:paraId="0296917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脚踝测量范围：收缩压5.3kpa~33.3kpa(40mmHg~250mmHg)</w:t>
      </w:r>
    </w:p>
    <w:p w14:paraId="649A1D7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 xml:space="preserve">                舒张压3.3kpa~29.3kpa(25mmHg~220mmHg)</w:t>
      </w:r>
    </w:p>
    <w:p w14:paraId="6484F73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脉搏数测量范围40次/分钟--180次/分钟</w:t>
      </w:r>
    </w:p>
    <w:p w14:paraId="648AC7C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C、设备性能及要求</w:t>
      </w:r>
    </w:p>
    <w:p w14:paraId="75967B1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1、外周血管压力波动同步检测技术：在同一心动周期内采集信号，实时感知双上肢和双下肢压力波动，保证ABI测量精确度高，重复性好。对于紧张、心律不齐、心功能不好的患者也能够准确检测。</w:t>
      </w:r>
    </w:p>
    <w:p w14:paraId="5A74116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2、双层线性膨胀传感器技术（oscillometric法）：针对下肢血压检测，交叉捕捉最强的信号来源，保证脚踝部检测值准确性。</w:t>
      </w:r>
    </w:p>
    <w:p w14:paraId="5D8EE35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3、滤波功能：可通过设定多个脉搏波起始条件，将噪音波自动滤掉，以保证结果准确。</w:t>
      </w:r>
    </w:p>
    <w:p w14:paraId="6F398AA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4、网络连接 ：有线传输，无线传输,可连入医院内数据库，电子病历联网和病理检查系统等，方便远程处理。</w:t>
      </w:r>
    </w:p>
    <w:p w14:paraId="705D294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5、数据检索：可通过输入简单的ID信息实现数据检索。</w:t>
      </w:r>
    </w:p>
    <w:p w14:paraId="2596733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6、图形及画面显示：</w:t>
      </w:r>
    </w:p>
    <w:p w14:paraId="5A305F7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6.1  可显示四肢脉搏波波形图。</w:t>
      </w:r>
    </w:p>
    <w:p w14:paraId="7C1FC56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6.2  可显示不同年龄、性别的PWV标准曲线。</w:t>
      </w:r>
    </w:p>
    <w:p w14:paraId="42EE54D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6.3  可现实baPWV,ABI 血管疾病危险因子诊疗分析形象示意图。</w:t>
      </w:r>
    </w:p>
    <w:p w14:paraId="2D7A2B6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6.4  ≧7英寸中文彩色触摸液晶显示屏 TFT彩色LCD  显示分辨率：≧800×480像素。</w:t>
      </w:r>
    </w:p>
    <w:p w14:paraId="7C013EA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7.符合MMC-Connection标准。</w:t>
      </w:r>
    </w:p>
    <w:p w14:paraId="7694449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p>
    <w:p w14:paraId="398A8DC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 xml:space="preserve">三、体检秤      </w:t>
      </w:r>
    </w:p>
    <w:p w14:paraId="667307A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 xml:space="preserve">1.额定电源:AC 220V±10% 50Hz                  </w:t>
      </w:r>
    </w:p>
    <w:p w14:paraId="44FF5E9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 额定输入功率≤30W</w:t>
      </w:r>
    </w:p>
    <w:p w14:paraId="6583856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  测量范围：身高 70 ~ 200cm，允许误差  ±0.6cm，重量 5.0 ~ 200kg 允许误差±0.1kg</w:t>
      </w:r>
    </w:p>
    <w:p w14:paraId="561D901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4.本体高度≦240cm</w:t>
      </w:r>
    </w:p>
    <w:p w14:paraId="4F1F259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5.显示方式：双屏显示。</w:t>
      </w:r>
    </w:p>
    <w:p w14:paraId="2CA6D28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6.配有RS-232C连接口，具备蓝牙传输功能。</w:t>
      </w:r>
    </w:p>
    <w:p w14:paraId="4C4895D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7.符合MMC-Connection标准。</w:t>
      </w:r>
    </w:p>
    <w:p w14:paraId="334C0CE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p>
    <w:p w14:paraId="7B59EAF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四、医用电子血压计</w:t>
      </w:r>
    </w:p>
    <w:p w14:paraId="0D5558E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1.医用级血压计。</w:t>
      </w:r>
    </w:p>
    <w:p w14:paraId="400AF32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2.可使用酒精擦拭消毒，具备听诊模式和不规则脉搏波检测。</w:t>
      </w:r>
    </w:p>
    <w:p w14:paraId="37814E3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3.通过AAMI/ESH/BHS认证。</w:t>
      </w:r>
    </w:p>
    <w:p w14:paraId="52D4ED91">
      <w:pPr>
        <w:spacing w:line="360" w:lineRule="auto"/>
        <w:ind w:firstLine="480"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 .符合MMC-Connection标准，可与MMC软件连接，测量后实时传送收缩压，舒张压，心率，身体移动等信息。</w:t>
      </w:r>
    </w:p>
    <w:p w14:paraId="3FD4C4D7">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配置清单：</w:t>
      </w:r>
    </w:p>
    <w:p w14:paraId="445764B9">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MMC信息系统平台1台；</w:t>
      </w:r>
    </w:p>
    <w:p w14:paraId="6E124B7A">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动脉硬化检测仪1台；</w:t>
      </w:r>
    </w:p>
    <w:p w14:paraId="2BF3921E">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体检秤1台；</w:t>
      </w:r>
    </w:p>
    <w:p w14:paraId="1F3AA3E5">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医用电子血压计1台；</w:t>
      </w:r>
    </w:p>
    <w:p w14:paraId="644950F3">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电脑2台；报告打印机1台；条码打印机1台；身份证读卡器1台；摄像头麦克风1台。</w:t>
      </w:r>
    </w:p>
    <w:p w14:paraId="3F56D3A5">
      <w:pPr>
        <w:rPr>
          <w:rFonts w:hint="eastAsia"/>
          <w:lang w:val="en-US" w:eastAsia="zh-CN"/>
        </w:rPr>
      </w:pPr>
    </w:p>
    <w:p w14:paraId="15EC7489">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14:paraId="3C5278EB">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eastAsia="宋体" w:cs="宋体"/>
          <w:color w:val="auto"/>
          <w:sz w:val="24"/>
          <w:szCs w:val="24"/>
        </w:rPr>
        <w:t>1、运输、装卸、培训、安装调试：由中标人负责承担，最终通过使用科室、设备科及相关部门确认验收交付使用。</w:t>
      </w:r>
      <w:r>
        <w:rPr>
          <w:rFonts w:hint="eastAsia" w:ascii="宋体" w:hAnsi="宋体" w:eastAsia="宋体" w:cs="宋体"/>
          <w:color w:val="auto"/>
          <w:sz w:val="24"/>
          <w:szCs w:val="24"/>
        </w:rPr>
        <w:cr/>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2、交货时间：按</w:t>
      </w:r>
      <w:r>
        <w:rPr>
          <w:rFonts w:hint="eastAsia" w:ascii="宋体" w:hAnsi="宋体" w:cs="宋体"/>
          <w:color w:val="auto"/>
          <w:sz w:val="24"/>
          <w:szCs w:val="24"/>
          <w:lang w:val="en-US" w:eastAsia="zh-CN"/>
        </w:rPr>
        <w:t>合同约定的日期交货。</w:t>
      </w:r>
    </w:p>
    <w:p w14:paraId="490DFA9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、交货地点：娄底市中心医院</w:t>
      </w:r>
      <w:r>
        <w:rPr>
          <w:rFonts w:hint="eastAsia" w:ascii="宋体" w:hAnsi="宋体" w:cs="宋体"/>
          <w:color w:val="auto"/>
          <w:sz w:val="24"/>
          <w:szCs w:val="24"/>
          <w:lang w:val="en-US" w:eastAsia="zh-CN"/>
        </w:rPr>
        <w:t>指定地点</w:t>
      </w:r>
      <w:r>
        <w:rPr>
          <w:rFonts w:hint="eastAsia" w:ascii="宋体" w:hAnsi="宋体" w:eastAsia="宋体" w:cs="宋体"/>
          <w:color w:val="auto"/>
          <w:sz w:val="24"/>
          <w:szCs w:val="24"/>
        </w:rPr>
        <w:t>。</w:t>
      </w:r>
    </w:p>
    <w:p w14:paraId="2BEC70B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4</w:t>
      </w:r>
      <w:r>
        <w:rPr>
          <w:rFonts w:hint="eastAsia" w:ascii="宋体" w:hAnsi="宋体" w:eastAsia="宋体" w:cs="宋体"/>
          <w:color w:val="auto"/>
          <w:sz w:val="24"/>
          <w:szCs w:val="24"/>
        </w:rPr>
        <w:t>、付款方式：设备验收合格后，供应商将发票交到娄底市中心医院后按程序支付货款90%（按医院财务制度一般情况下4个月内支付、特殊情况下最多不超过6个月），甲方在设备验收合格</w:t>
      </w:r>
      <w:r>
        <w:rPr>
          <w:rFonts w:hint="eastAsia" w:ascii="宋体" w:hAnsi="宋体" w:eastAsia="宋体" w:cs="宋体"/>
          <w:color w:val="auto"/>
          <w:sz w:val="24"/>
          <w:szCs w:val="24"/>
          <w:lang w:val="en-US" w:eastAsia="zh-CN"/>
        </w:rPr>
        <w:t>满</w:t>
      </w:r>
      <w:r>
        <w:rPr>
          <w:rFonts w:hint="eastAsia" w:ascii="宋体" w:hAnsi="宋体" w:cs="宋体"/>
          <w:color w:val="auto"/>
          <w:sz w:val="24"/>
          <w:szCs w:val="24"/>
          <w:u w:val="none"/>
          <w:lang w:val="en-US" w:eastAsia="zh-CN"/>
        </w:rPr>
        <w:t>2年</w:t>
      </w:r>
      <w:r>
        <w:rPr>
          <w:rFonts w:hint="eastAsia" w:ascii="宋体" w:hAnsi="宋体" w:eastAsia="宋体" w:cs="宋体"/>
          <w:color w:val="auto"/>
          <w:sz w:val="24"/>
          <w:szCs w:val="24"/>
        </w:rPr>
        <w:t>后</w:t>
      </w:r>
      <w:r>
        <w:rPr>
          <w:rFonts w:hint="eastAsia" w:ascii="宋体" w:hAnsi="宋体" w:cs="宋体"/>
          <w:color w:val="auto"/>
          <w:sz w:val="24"/>
          <w:szCs w:val="24"/>
          <w:lang w:eastAsia="zh-CN"/>
        </w:rPr>
        <w:t>免息</w:t>
      </w:r>
      <w:r>
        <w:rPr>
          <w:rFonts w:hint="eastAsia" w:ascii="宋体" w:hAnsi="宋体" w:eastAsia="宋体" w:cs="宋体"/>
          <w:color w:val="auto"/>
          <w:sz w:val="24"/>
          <w:szCs w:val="24"/>
        </w:rPr>
        <w:t>支付10%余款给乙方。</w:t>
      </w:r>
      <w:r>
        <w:rPr>
          <w:rFonts w:hint="eastAsia" w:ascii="宋体" w:hAnsi="宋体" w:eastAsia="宋体" w:cs="宋体"/>
          <w:color w:val="auto"/>
          <w:sz w:val="24"/>
          <w:szCs w:val="24"/>
        </w:rPr>
        <w:cr/>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5、质保与售后：整机保修</w:t>
      </w:r>
      <w:r>
        <w:rPr>
          <w:rFonts w:hint="eastAsia" w:ascii="宋体" w:hAnsi="宋体" w:cs="宋体"/>
          <w:color w:val="auto"/>
          <w:sz w:val="24"/>
          <w:szCs w:val="24"/>
          <w:lang w:val="en-US" w:eastAsia="zh-CN"/>
        </w:rPr>
        <w:t>2</w:t>
      </w:r>
      <w:r>
        <w:rPr>
          <w:rFonts w:hint="eastAsia" w:ascii="宋体" w:hAnsi="宋体" w:eastAsia="宋体" w:cs="宋体"/>
          <w:color w:val="auto"/>
          <w:sz w:val="24"/>
          <w:szCs w:val="24"/>
        </w:rPr>
        <w:t>年，终身维修。</w:t>
      </w:r>
      <w:r>
        <w:rPr>
          <w:rFonts w:hint="eastAsia" w:ascii="宋体" w:hAnsi="宋体" w:cs="宋体"/>
          <w:color w:val="auto"/>
          <w:sz w:val="24"/>
          <w:szCs w:val="24"/>
          <w:lang w:val="en-US" w:eastAsia="zh-CN"/>
        </w:rPr>
        <w:t>验收时</w:t>
      </w:r>
      <w:r>
        <w:rPr>
          <w:rFonts w:hint="eastAsia" w:ascii="宋体" w:hAnsi="宋体" w:eastAsia="宋体" w:cs="宋体"/>
          <w:color w:val="auto"/>
          <w:sz w:val="24"/>
          <w:szCs w:val="24"/>
        </w:rPr>
        <w:t>出具原厂售后质保承诺书，质保期内每年巡检</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rPr>
        <w:t>次</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并提交巡检记录</w:t>
      </w:r>
      <w:r>
        <w:rPr>
          <w:rFonts w:hint="eastAsia" w:ascii="宋体" w:hAnsi="宋体" w:eastAsia="宋体" w:cs="宋体"/>
          <w:color w:val="auto"/>
          <w:sz w:val="24"/>
          <w:szCs w:val="24"/>
        </w:rPr>
        <w:t>。</w:t>
      </w:r>
      <w:r>
        <w:rPr>
          <w:rFonts w:hint="eastAsia" w:ascii="宋体" w:hAnsi="宋体" w:eastAsia="宋体" w:cs="宋体"/>
          <w:color w:val="auto"/>
          <w:sz w:val="24"/>
          <w:szCs w:val="24"/>
          <w:lang w:val="zh-CN" w:eastAsia="zh-CN"/>
        </w:rPr>
        <w:t>质保期内</w:t>
      </w:r>
      <w:r>
        <w:rPr>
          <w:rFonts w:hint="eastAsia" w:ascii="宋体" w:hAnsi="宋体" w:cs="宋体"/>
          <w:color w:val="auto"/>
          <w:sz w:val="24"/>
          <w:szCs w:val="24"/>
          <w:lang w:val="en-US" w:eastAsia="zh-CN"/>
        </w:rPr>
        <w:t>出现故障</w:t>
      </w:r>
      <w:r>
        <w:rPr>
          <w:rFonts w:hint="eastAsia" w:ascii="宋体" w:hAnsi="宋体" w:eastAsia="宋体" w:cs="宋体"/>
          <w:color w:val="auto"/>
          <w:sz w:val="24"/>
          <w:szCs w:val="24"/>
          <w:lang w:val="en-US" w:eastAsia="zh-CN"/>
        </w:rPr>
        <w:t>，24小时响应，响应后</w:t>
      </w:r>
      <w:r>
        <w:rPr>
          <w:rFonts w:hint="eastAsia" w:ascii="宋体" w:hAnsi="宋体" w:cs="宋体"/>
          <w:color w:val="auto"/>
          <w:sz w:val="24"/>
          <w:szCs w:val="24"/>
          <w:lang w:val="en-US" w:eastAsia="zh-CN"/>
        </w:rPr>
        <w:t>1</w:t>
      </w:r>
      <w:r>
        <w:rPr>
          <w:rFonts w:hint="eastAsia" w:ascii="宋体" w:hAnsi="宋体" w:eastAsia="宋体" w:cs="宋体"/>
          <w:color w:val="auto"/>
          <w:sz w:val="24"/>
          <w:szCs w:val="24"/>
          <w:lang w:val="en-US" w:eastAsia="zh-CN"/>
        </w:rPr>
        <w:t>小时上门服务</w:t>
      </w:r>
      <w:r>
        <w:rPr>
          <w:rFonts w:hint="eastAsia" w:ascii="宋体" w:hAnsi="宋体" w:cs="宋体"/>
          <w:color w:val="auto"/>
          <w:sz w:val="24"/>
          <w:szCs w:val="24"/>
          <w:lang w:val="en-US" w:eastAsia="zh-CN"/>
        </w:rPr>
        <w:t>。</w:t>
      </w:r>
    </w:p>
    <w:p w14:paraId="35A555D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6、在投标文件中必须提供相关佐证资料（加盖投标人公章的技术参数、技术白皮书、说明书、彩页），并在响应表中备注该条参数响应或正偏离的佐证资料所在页码。</w:t>
      </w:r>
    </w:p>
    <w:p w14:paraId="70BE5C1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cs="宋体"/>
          <w:color w:val="auto"/>
          <w:sz w:val="24"/>
          <w:szCs w:val="24"/>
          <w:lang w:val="en-US" w:eastAsia="zh-CN"/>
        </w:rPr>
      </w:pPr>
      <w:r>
        <w:rPr>
          <w:rFonts w:hint="eastAsia" w:ascii="宋体" w:hAnsi="宋体" w:eastAsia="宋体" w:cs="宋体"/>
          <w:color w:val="auto"/>
          <w:sz w:val="24"/>
          <w:szCs w:val="24"/>
          <w:lang w:val="en-US" w:eastAsia="zh-CN"/>
        </w:rPr>
        <w:t>7、设备如涉及网络接口费用，由中标人承担，采购人不再出具任何费用。</w:t>
      </w:r>
    </w:p>
    <w:p w14:paraId="2CE7588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1CB5D53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465A4BF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1E32B99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29E1EE1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E16B41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193384F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1CF55D2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1E0BA88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7DE2E6B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64D07CF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382A4F5C">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00F75EB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w:t>
      </w: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5CD67D0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29F508DA">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55778909">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法定代表人：左建辉</w:t>
      </w:r>
    </w:p>
    <w:p w14:paraId="5083B530">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05B41D46">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362E0B97">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14:paraId="0FC5BB9B">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14:paraId="39A301CA">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4FC697AA">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6B8B7EE1">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53D84181">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07EEB1DF">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01482161">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53236966">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公开招标</w:t>
      </w:r>
      <w:r>
        <w:rPr>
          <w:rFonts w:hint="eastAsia" w:ascii="宋体" w:hAnsi="宋体" w:eastAsia="宋体" w:cs="宋体"/>
          <w:color w:val="000000" w:themeColor="text1"/>
          <w:sz w:val="24"/>
          <w:szCs w:val="24"/>
          <w:highlight w:val="none"/>
          <w:lang w:val="en-US" w:eastAsia="zh-CN"/>
          <w14:textFill>
            <w14:solidFill>
              <w14:schemeClr w14:val="tx1"/>
            </w14:solidFill>
          </w14:textFill>
        </w:rPr>
        <w:t>☑医院公开挂网□医院院内议价□湖南政府采购电子卖场竞价）</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MMC代谢一体机等一批</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项目编号：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MMC代谢一体机等一批</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06F0EC1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0981DED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10"/>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14:paraId="483CC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top"/>
          </w:tcPr>
          <w:p w14:paraId="3EDEC363">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220" w:type="dxa"/>
            <w:noWrap w:val="0"/>
            <w:vAlign w:val="top"/>
          </w:tcPr>
          <w:p w14:paraId="68D30D3E">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noWrap w:val="0"/>
            <w:vAlign w:val="top"/>
          </w:tcPr>
          <w:p w14:paraId="35C702A1">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noWrap w:val="0"/>
            <w:vAlign w:val="top"/>
          </w:tcPr>
          <w:p w14:paraId="7DD1C20D">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noWrap w:val="0"/>
            <w:vAlign w:val="top"/>
          </w:tcPr>
          <w:p w14:paraId="6C4E50CB">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noWrap w:val="0"/>
            <w:vAlign w:val="top"/>
          </w:tcPr>
          <w:p w14:paraId="718090D4">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09990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center"/>
          </w:tcPr>
          <w:p w14:paraId="1469BBF2">
            <w:pPr>
              <w:spacing w:beforeLines="0" w:afterLines="0"/>
              <w:jc w:val="center"/>
              <w:rPr>
                <w:rFonts w:hint="default" w:ascii="宋体" w:hAnsi="宋体" w:eastAsiaTheme="minorEastAsia" w:cstheme="minorBidi"/>
                <w:color w:val="000000"/>
                <w:kern w:val="2"/>
                <w:sz w:val="22"/>
                <w:szCs w:val="24"/>
                <w:lang w:val="en-US" w:eastAsia="zh-CN" w:bidi="ar-SA"/>
              </w:rPr>
            </w:pPr>
            <w:r>
              <w:rPr>
                <w:rFonts w:hint="eastAsia" w:ascii="宋体" w:hAnsi="宋体"/>
                <w:color w:val="000000"/>
                <w:sz w:val="22"/>
                <w:szCs w:val="24"/>
              </w:rPr>
              <w:t>MMC代谢一体机</w:t>
            </w:r>
          </w:p>
        </w:tc>
        <w:tc>
          <w:tcPr>
            <w:tcW w:w="1220" w:type="dxa"/>
            <w:noWrap w:val="0"/>
            <w:vAlign w:val="center"/>
          </w:tcPr>
          <w:p w14:paraId="15E622E1">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noWrap w:val="0"/>
            <w:vAlign w:val="top"/>
          </w:tcPr>
          <w:p w14:paraId="2F0911DC">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noWrap w:val="0"/>
            <w:vAlign w:val="top"/>
          </w:tcPr>
          <w:p w14:paraId="7F69A41C">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noWrap w:val="0"/>
            <w:vAlign w:val="top"/>
          </w:tcPr>
          <w:p w14:paraId="07DC1063">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w:t>
            </w:r>
          </w:p>
        </w:tc>
        <w:tc>
          <w:tcPr>
            <w:tcW w:w="1654" w:type="dxa"/>
            <w:noWrap w:val="0"/>
            <w:vAlign w:val="top"/>
          </w:tcPr>
          <w:p w14:paraId="42134765">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25E2B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center"/>
          </w:tcPr>
          <w:p w14:paraId="66557821">
            <w:pPr>
              <w:spacing w:beforeLines="0" w:afterLines="0"/>
              <w:jc w:val="center"/>
              <w:rPr>
                <w:rFonts w:hint="default" w:ascii="宋体" w:hAnsi="宋体" w:eastAsiaTheme="minorEastAsia" w:cstheme="minorBidi"/>
                <w:color w:val="000000"/>
                <w:kern w:val="2"/>
                <w:sz w:val="22"/>
                <w:szCs w:val="24"/>
                <w:lang w:val="en-US" w:eastAsia="zh-CN" w:bidi="ar-SA"/>
              </w:rPr>
            </w:pPr>
            <w:r>
              <w:rPr>
                <w:rFonts w:hint="eastAsia" w:ascii="宋体" w:hAnsi="宋体"/>
                <w:color w:val="000000"/>
                <w:sz w:val="22"/>
                <w:szCs w:val="24"/>
              </w:rPr>
              <w:t>动脉硬化检测仪</w:t>
            </w:r>
          </w:p>
        </w:tc>
        <w:tc>
          <w:tcPr>
            <w:tcW w:w="1220" w:type="dxa"/>
            <w:noWrap w:val="0"/>
            <w:vAlign w:val="center"/>
          </w:tcPr>
          <w:p w14:paraId="45651026">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noWrap w:val="0"/>
            <w:vAlign w:val="top"/>
          </w:tcPr>
          <w:p w14:paraId="34FFD298">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noWrap w:val="0"/>
            <w:vAlign w:val="top"/>
          </w:tcPr>
          <w:p w14:paraId="5444718B">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noWrap w:val="0"/>
            <w:vAlign w:val="top"/>
          </w:tcPr>
          <w:p w14:paraId="7C372396">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w:t>
            </w:r>
          </w:p>
        </w:tc>
        <w:tc>
          <w:tcPr>
            <w:tcW w:w="1654" w:type="dxa"/>
            <w:noWrap w:val="0"/>
            <w:vAlign w:val="top"/>
          </w:tcPr>
          <w:p w14:paraId="7FF30339">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606E7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center"/>
          </w:tcPr>
          <w:p w14:paraId="7FBB457F">
            <w:pPr>
              <w:spacing w:beforeLines="0" w:afterLines="0"/>
              <w:jc w:val="center"/>
              <w:rPr>
                <w:rFonts w:hint="default" w:ascii="宋体" w:hAnsi="宋体" w:eastAsiaTheme="minorEastAsia" w:cstheme="minorBidi"/>
                <w:color w:val="000000"/>
                <w:kern w:val="2"/>
                <w:sz w:val="22"/>
                <w:szCs w:val="24"/>
                <w:lang w:val="en-US" w:eastAsia="zh-CN" w:bidi="ar-SA"/>
              </w:rPr>
            </w:pPr>
            <w:r>
              <w:rPr>
                <w:rFonts w:hint="eastAsia" w:ascii="宋体" w:hAnsi="宋体"/>
                <w:color w:val="000000"/>
                <w:sz w:val="22"/>
                <w:szCs w:val="24"/>
              </w:rPr>
              <w:t>体检秤</w:t>
            </w:r>
          </w:p>
        </w:tc>
        <w:tc>
          <w:tcPr>
            <w:tcW w:w="1220" w:type="dxa"/>
            <w:noWrap w:val="0"/>
            <w:vAlign w:val="center"/>
          </w:tcPr>
          <w:p w14:paraId="204F166F">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noWrap w:val="0"/>
            <w:vAlign w:val="top"/>
          </w:tcPr>
          <w:p w14:paraId="0DC0B262">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noWrap w:val="0"/>
            <w:vAlign w:val="top"/>
          </w:tcPr>
          <w:p w14:paraId="06F52864">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noWrap w:val="0"/>
            <w:vAlign w:val="top"/>
          </w:tcPr>
          <w:p w14:paraId="4FEBCC35">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w:t>
            </w:r>
          </w:p>
        </w:tc>
        <w:tc>
          <w:tcPr>
            <w:tcW w:w="1654" w:type="dxa"/>
            <w:noWrap w:val="0"/>
            <w:vAlign w:val="top"/>
          </w:tcPr>
          <w:p w14:paraId="60BACE01">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2726D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center"/>
          </w:tcPr>
          <w:p w14:paraId="004272CF">
            <w:pPr>
              <w:spacing w:beforeLines="0" w:afterLines="0"/>
              <w:jc w:val="center"/>
              <w:rPr>
                <w:rFonts w:hint="default" w:ascii="宋体" w:hAnsi="宋体" w:eastAsiaTheme="minorEastAsia" w:cstheme="minorBidi"/>
                <w:color w:val="000000"/>
                <w:kern w:val="2"/>
                <w:sz w:val="22"/>
                <w:szCs w:val="24"/>
                <w:lang w:val="en-US" w:eastAsia="zh-CN" w:bidi="ar-SA"/>
              </w:rPr>
            </w:pPr>
            <w:r>
              <w:rPr>
                <w:rFonts w:hint="eastAsia" w:ascii="宋体" w:hAnsi="宋体"/>
                <w:color w:val="000000"/>
                <w:sz w:val="22"/>
                <w:szCs w:val="24"/>
              </w:rPr>
              <w:t>医用电子血压计</w:t>
            </w:r>
          </w:p>
        </w:tc>
        <w:tc>
          <w:tcPr>
            <w:tcW w:w="1220" w:type="dxa"/>
            <w:noWrap w:val="0"/>
            <w:vAlign w:val="center"/>
          </w:tcPr>
          <w:p w14:paraId="6EE0CD1B">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noWrap w:val="0"/>
            <w:vAlign w:val="top"/>
          </w:tcPr>
          <w:p w14:paraId="7E771271">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noWrap w:val="0"/>
            <w:vAlign w:val="top"/>
          </w:tcPr>
          <w:p w14:paraId="329B81AB">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noWrap w:val="0"/>
            <w:vAlign w:val="top"/>
          </w:tcPr>
          <w:p w14:paraId="2CFAFDA0">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w:t>
            </w:r>
          </w:p>
        </w:tc>
        <w:tc>
          <w:tcPr>
            <w:tcW w:w="1654" w:type="dxa"/>
            <w:noWrap w:val="0"/>
            <w:vAlign w:val="top"/>
          </w:tcPr>
          <w:p w14:paraId="700B2C50">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7616C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noWrap w:val="0"/>
            <w:vAlign w:val="top"/>
          </w:tcPr>
          <w:p w14:paraId="4117F420">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011B13E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固定单价），不因物价、市场波动变更，约定价格包括且不限于设计费、材料费、人工费、安装费、包装费、运输费、装卸费、调试费、接口费、检测费、检验费、税费、保险费、售后服务费、附随服务费等在内所有费用。 </w:t>
      </w:r>
    </w:p>
    <w:p w14:paraId="0E6CAEB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1.3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需要</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对接，因</w:t>
      </w:r>
      <w:r>
        <w:rPr>
          <w:rFonts w:hint="eastAsia" w:ascii="宋体" w:hAnsi="宋体" w:cs="宋体"/>
          <w:color w:val="000000" w:themeColor="text1"/>
          <w:sz w:val="24"/>
          <w:szCs w:val="24"/>
          <w:highlight w:val="none"/>
          <w14:textFill>
            <w14:solidFill>
              <w14:schemeClr w14:val="tx1"/>
            </w14:solidFill>
          </w14:textFill>
        </w:rPr>
        <w:t>对接产生的接口开发等</w:t>
      </w:r>
      <w:r>
        <w:rPr>
          <w:rFonts w:hint="eastAsia" w:ascii="宋体" w:hAnsi="宋体" w:cs="宋体"/>
          <w:color w:val="000000" w:themeColor="text1"/>
          <w:sz w:val="24"/>
          <w:szCs w:val="24"/>
          <w:highlight w:val="none"/>
          <w:lang w:eastAsia="zh-CN"/>
          <w14:textFill>
            <w14:solidFill>
              <w14:schemeClr w14:val="tx1"/>
            </w14:solidFill>
          </w14:textFill>
        </w:rPr>
        <w:t>乙方及第三方需要收取的</w:t>
      </w:r>
      <w:r>
        <w:rPr>
          <w:rFonts w:hint="eastAsia" w:ascii="宋体" w:hAnsi="宋体" w:cs="宋体"/>
          <w:color w:val="000000" w:themeColor="text1"/>
          <w:sz w:val="24"/>
          <w:szCs w:val="24"/>
          <w:highlight w:val="none"/>
          <w14:textFill>
            <w14:solidFill>
              <w14:schemeClr w14:val="tx1"/>
            </w14:solidFill>
          </w14:textFill>
        </w:rPr>
        <w:t>全部费用均由乙方承担。</w:t>
      </w:r>
    </w:p>
    <w:p w14:paraId="2A7D363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11CF2D6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月</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日之前</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月</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日之前</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2FB3B00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2978D5F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7F52352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66A333B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p>
    <w:p w14:paraId="322004B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14:paraId="00D5838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0763C08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5C184E8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75E98AA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088C089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0047CC6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1AB59F3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杨娟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39D0586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0880366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4CA33D7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53109714">
      <w:pPr>
        <w:keepNext w:val="0"/>
        <w:keepLines w:val="0"/>
        <w:pageBreakBefore w:val="0"/>
        <w:widowControl/>
        <w:numPr>
          <w:ilvl w:val="-1"/>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二</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6E52027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14:paraId="16F377D8">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09BC43B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0CC05FF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39EE89DE">
      <w:pPr>
        <w:keepNext w:val="0"/>
        <w:keepLines w:val="0"/>
        <w:pageBreakBefore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656649A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75B3E4F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0FECF52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41A7811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48BB2ED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4CDFBBE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542FC7E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4422354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6254F41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5FCAB72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50037A8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2BA6E8B8">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4C2D0F3C">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5A959073">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14:paraId="6901A3BF">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5BD275E6">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67040774">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131EA916">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33652B92">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02ABC2C4">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39A5CF7C">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7D653162">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449C454A">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21CD7FFF">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0E98633F">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3223ADFE">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77C797CA">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0DE2B5C0">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3BE6E408">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1E67EA3D">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3201C922">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30CB7FCE">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180F255A">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45C14903">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元 ☑</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7548D056">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元 ☑</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u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14BB3DA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无论甲方在任意时候（不限于本合同履行期间）发现存在违反本合同廉洁条款及供应商考核管理制度约定的行为，乙方均须向甲方一次性支付惩罚性违约金   .00元，如本金额与根据甲方供应商考核管理制度计算的违约金金额不一致，违约金金额以价高的为准。如乙方除需承担违反廉洁条款及供应商考核管理制度的违约责任外，同时存在其他违约行为，乙方仍须就其他违约行为承担相应违约责任。</w:t>
      </w:r>
    </w:p>
    <w:p w14:paraId="65731415">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797BB9BC">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38B4CBC2">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739D0C70">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3217C40D">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3839DB1F">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1</w:t>
      </w:r>
      <w:r>
        <w:rPr>
          <w:rFonts w:hint="eastAsia" w:ascii="宋体" w:hAnsi="宋体" w:eastAsia="宋体" w:cs="宋体"/>
          <w:color w:val="000000" w:themeColor="text1"/>
          <w:sz w:val="24"/>
          <w:highlight w:val="none"/>
          <w14:textFill>
            <w14:solidFill>
              <w14:schemeClr w14:val="tx1"/>
            </w14:solidFill>
          </w14:textFill>
        </w:rPr>
        <w:t xml:space="preserve"> 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03282D88">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2</w:t>
      </w:r>
      <w:r>
        <w:rPr>
          <w:rFonts w:hint="eastAsia" w:ascii="宋体" w:hAnsi="宋体" w:eastAsia="宋体" w:cs="宋体"/>
          <w:color w:val="000000" w:themeColor="text1"/>
          <w:sz w:val="24"/>
          <w:highlight w:val="none"/>
          <w14:textFill>
            <w14:solidFill>
              <w14:schemeClr w14:val="tx1"/>
            </w14:solidFill>
          </w14:textFill>
        </w:rPr>
        <w:t xml:space="preserve"> 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4BF3FB06">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719DDA9B">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6A01EEDA">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46EA781E">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法定代表人（签字）：    </w:t>
      </w:r>
    </w:p>
    <w:p w14:paraId="4EB9E7A8">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1FE18D3A">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6B28E684">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532CE515">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6CA5E064">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74E3C6B6">
      <w:pPr>
        <w:keepNext w:val="0"/>
        <w:keepLines w:val="0"/>
        <w:pageBreakBefore w:val="0"/>
        <w:kinsoku/>
        <w:wordWrap/>
        <w:overflowPunct/>
        <w:topLinePunct w:val="0"/>
        <w:autoSpaceDE/>
        <w:autoSpaceDN/>
        <w:bidi w:val="0"/>
        <w:adjustRightInd/>
        <w:snapToGrid/>
        <w:spacing w:line="440" w:lineRule="exact"/>
        <w:textAlignment w:val="auto"/>
        <w:rPr>
          <w:rFonts w:hint="default" w:ascii="宋体" w:hAnsi="宋体" w:eastAsia="宋体" w:cs="宋体"/>
          <w:color w:val="auto"/>
          <w:sz w:val="24"/>
          <w:szCs w:val="24"/>
          <w:lang w:val="en-US" w:eastAsia="zh-CN"/>
        </w:rPr>
      </w:pPr>
      <w:bookmarkStart w:id="4" w:name="_GoBack"/>
      <w:bookmarkEnd w:id="4"/>
    </w:p>
    <w:p w14:paraId="6450FBD0">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br w:type="page"/>
      </w:r>
      <w:r>
        <w:rPr>
          <w:rFonts w:hint="eastAsia" w:ascii="黑体" w:hAnsi="黑体" w:eastAsia="黑体" w:cs="黑体"/>
          <w:sz w:val="32"/>
          <w:szCs w:val="32"/>
          <w:lang w:val="en-US" w:eastAsia="zh-CN"/>
        </w:rPr>
        <w:t>附件</w:t>
      </w:r>
    </w:p>
    <w:p w14:paraId="168CE200">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17CB8BC1">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72001243">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C8AEFFF">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678A02A4">
      <w:pPr>
        <w:rPr>
          <w:rFonts w:hint="eastAsia" w:ascii="宋体" w:hAnsi="宋体" w:cs="宋体"/>
          <w:color w:val="auto"/>
        </w:rPr>
      </w:pPr>
    </w:p>
    <w:bookmarkEnd w:id="1"/>
    <w:p w14:paraId="35955023">
      <w:pPr>
        <w:rPr>
          <w:rFonts w:hint="eastAsia"/>
          <w:color w:val="auto"/>
        </w:rPr>
      </w:pPr>
    </w:p>
    <w:p w14:paraId="7269B6E8">
      <w:pPr>
        <w:jc w:val="center"/>
        <w:rPr>
          <w:b/>
          <w:color w:val="auto"/>
          <w:sz w:val="24"/>
        </w:rPr>
      </w:pPr>
      <w:r>
        <w:rPr>
          <w:b/>
          <w:color w:val="auto"/>
          <w:sz w:val="28"/>
          <w:szCs w:val="28"/>
        </w:rPr>
        <w:t>第一部分、开标一览表</w:t>
      </w:r>
    </w:p>
    <w:p w14:paraId="3272D69C">
      <w:pPr>
        <w:jc w:val="center"/>
        <w:rPr>
          <w:b/>
          <w:color w:val="auto"/>
          <w:sz w:val="24"/>
        </w:rPr>
      </w:pPr>
    </w:p>
    <w:p w14:paraId="298B673A">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016E4D9E">
      <w:pPr>
        <w:pStyle w:val="16"/>
        <w:rPr>
          <w:color w:val="auto"/>
        </w:rPr>
      </w:pPr>
    </w:p>
    <w:p w14:paraId="31B03680">
      <w:pPr>
        <w:adjustRightInd w:val="0"/>
        <w:snapToGrid w:val="0"/>
        <w:spacing w:line="360" w:lineRule="auto"/>
        <w:jc w:val="center"/>
        <w:rPr>
          <w:rFonts w:hint="eastAsia" w:ascii="宋体" w:hAnsi="宋体" w:cs="宋体"/>
          <w:b/>
          <w:color w:val="auto"/>
          <w:sz w:val="28"/>
          <w:szCs w:val="28"/>
        </w:rPr>
      </w:pPr>
    </w:p>
    <w:p w14:paraId="68AFC285">
      <w:pPr>
        <w:adjustRightInd w:val="0"/>
        <w:snapToGrid w:val="0"/>
        <w:spacing w:line="360" w:lineRule="auto"/>
        <w:jc w:val="center"/>
        <w:rPr>
          <w:rFonts w:hint="eastAsia" w:ascii="宋体" w:hAnsi="宋体" w:cs="宋体"/>
          <w:b/>
          <w:color w:val="auto"/>
          <w:sz w:val="28"/>
          <w:szCs w:val="28"/>
        </w:rPr>
      </w:pPr>
    </w:p>
    <w:p w14:paraId="7C2866BF">
      <w:pPr>
        <w:adjustRightInd w:val="0"/>
        <w:snapToGrid w:val="0"/>
        <w:spacing w:line="360" w:lineRule="auto"/>
        <w:jc w:val="center"/>
        <w:rPr>
          <w:rFonts w:hint="eastAsia" w:ascii="宋体" w:hAnsi="宋体" w:cs="宋体"/>
          <w:b/>
          <w:color w:val="auto"/>
          <w:sz w:val="28"/>
          <w:szCs w:val="28"/>
        </w:rPr>
      </w:pPr>
    </w:p>
    <w:p w14:paraId="615E578F">
      <w:pPr>
        <w:adjustRightInd w:val="0"/>
        <w:snapToGrid w:val="0"/>
        <w:spacing w:line="360" w:lineRule="auto"/>
        <w:jc w:val="center"/>
        <w:rPr>
          <w:rFonts w:hint="eastAsia" w:ascii="宋体" w:hAnsi="宋体" w:cs="宋体"/>
          <w:b/>
          <w:color w:val="auto"/>
          <w:sz w:val="28"/>
          <w:szCs w:val="28"/>
        </w:rPr>
      </w:pPr>
    </w:p>
    <w:p w14:paraId="066856DF">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31413198">
      <w:pPr>
        <w:pStyle w:val="15"/>
        <w:rPr>
          <w:rFonts w:hint="eastAsia"/>
          <w:lang w:eastAsia="zh-CN"/>
        </w:rPr>
      </w:pPr>
    </w:p>
    <w:p w14:paraId="019592F8">
      <w:pPr>
        <w:adjustRightInd w:val="0"/>
        <w:snapToGrid w:val="0"/>
        <w:spacing w:line="360" w:lineRule="auto"/>
        <w:jc w:val="center"/>
        <w:rPr>
          <w:rFonts w:hint="eastAsia" w:ascii="宋体" w:hAnsi="宋体" w:cs="宋体"/>
          <w:b/>
          <w:color w:val="auto"/>
          <w:sz w:val="24"/>
          <w:szCs w:val="20"/>
        </w:rPr>
      </w:pPr>
    </w:p>
    <w:p w14:paraId="7AB1D287">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19D9A224">
      <w:pPr>
        <w:adjustRightInd w:val="0"/>
        <w:snapToGrid w:val="0"/>
        <w:spacing w:line="360" w:lineRule="auto"/>
        <w:rPr>
          <w:rFonts w:hint="eastAsia" w:ascii="宋体" w:hAnsi="宋体" w:cs="宋体"/>
          <w:b/>
          <w:color w:val="auto"/>
          <w:sz w:val="28"/>
          <w:szCs w:val="28"/>
        </w:rPr>
      </w:pPr>
    </w:p>
    <w:p w14:paraId="39DAF27A">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685B83AE">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3588009D">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6A2C43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7A7A2B04">
      <w:pPr>
        <w:adjustRightInd w:val="0"/>
        <w:snapToGrid w:val="0"/>
        <w:spacing w:line="360" w:lineRule="auto"/>
        <w:ind w:firstLine="480" w:firstLineChars="200"/>
        <w:rPr>
          <w:rFonts w:hint="eastAsia" w:ascii="宋体" w:hAnsi="宋体" w:cs="宋体"/>
          <w:color w:val="auto"/>
          <w:sz w:val="24"/>
        </w:rPr>
      </w:pPr>
    </w:p>
    <w:tbl>
      <w:tblPr>
        <w:tblStyle w:val="10"/>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182B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3AD6F504">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6ADBF687">
      <w:pPr>
        <w:adjustRightInd w:val="0"/>
        <w:snapToGrid w:val="0"/>
        <w:spacing w:line="360" w:lineRule="auto"/>
        <w:rPr>
          <w:rFonts w:hint="eastAsia" w:ascii="宋体" w:hAnsi="宋体" w:cs="宋体"/>
          <w:color w:val="auto"/>
          <w:sz w:val="24"/>
        </w:rPr>
      </w:pPr>
    </w:p>
    <w:tbl>
      <w:tblPr>
        <w:tblStyle w:val="10"/>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78169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21BD33DC">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388ADC4B">
      <w:pPr>
        <w:adjustRightInd w:val="0"/>
        <w:snapToGrid w:val="0"/>
        <w:spacing w:line="360" w:lineRule="auto"/>
        <w:rPr>
          <w:rFonts w:hint="eastAsia" w:ascii="宋体" w:hAnsi="宋体" w:cs="宋体"/>
          <w:color w:val="auto"/>
          <w:sz w:val="24"/>
        </w:rPr>
      </w:pPr>
    </w:p>
    <w:p w14:paraId="4EF410B2">
      <w:pPr>
        <w:adjustRightInd w:val="0"/>
        <w:snapToGrid w:val="0"/>
        <w:spacing w:line="360" w:lineRule="auto"/>
        <w:rPr>
          <w:rFonts w:hint="eastAsia" w:ascii="宋体" w:hAnsi="宋体" w:cs="宋体"/>
          <w:color w:val="auto"/>
          <w:sz w:val="24"/>
        </w:rPr>
      </w:pPr>
    </w:p>
    <w:p w14:paraId="01D6C8A2">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209E3B">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166B55A9">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33DE4FC9">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5BD972E1">
      <w:pPr>
        <w:adjustRightInd w:val="0"/>
        <w:snapToGrid w:val="0"/>
        <w:spacing w:line="360" w:lineRule="auto"/>
        <w:rPr>
          <w:rFonts w:hint="eastAsia" w:ascii="宋体" w:hAnsi="宋体" w:cs="宋体"/>
          <w:b/>
          <w:color w:val="auto"/>
          <w:sz w:val="28"/>
          <w:szCs w:val="28"/>
        </w:rPr>
      </w:pPr>
    </w:p>
    <w:p w14:paraId="0D7AFB46">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46A4900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100809F4">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按照招标文件的规定，我单位郑重声明如下：</w:t>
      </w:r>
    </w:p>
    <w:p w14:paraId="6935A6F5">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2987EC0D">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3051D8A1">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4A80FF2A">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招标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67D8786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4B07B463">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076F71C1">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103CB81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789DC03F">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5B6ACE0B">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18C54B1B">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41C88097">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443A3CF4">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241ED5E">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76F255">
      <w:pPr>
        <w:adjustRightInd w:val="0"/>
        <w:snapToGrid w:val="0"/>
        <w:spacing w:line="360" w:lineRule="auto"/>
        <w:jc w:val="center"/>
        <w:rPr>
          <w:rFonts w:hint="eastAsia" w:ascii="宋体" w:hAnsi="宋体" w:cs="宋体"/>
          <w:b/>
          <w:color w:val="auto"/>
          <w:sz w:val="24"/>
          <w:szCs w:val="20"/>
        </w:rPr>
      </w:pPr>
    </w:p>
    <w:p w14:paraId="30B66BA7">
      <w:pPr>
        <w:adjustRightInd w:val="0"/>
        <w:snapToGrid w:val="0"/>
        <w:spacing w:line="360" w:lineRule="auto"/>
        <w:rPr>
          <w:rFonts w:hint="eastAsia" w:ascii="宋体" w:hAnsi="宋体" w:cs="宋体"/>
          <w:b/>
          <w:color w:val="auto"/>
          <w:sz w:val="24"/>
          <w:szCs w:val="20"/>
        </w:rPr>
      </w:pPr>
    </w:p>
    <w:p w14:paraId="0D50DA8D">
      <w:pPr>
        <w:adjustRightInd w:val="0"/>
        <w:snapToGrid w:val="0"/>
        <w:spacing w:line="360" w:lineRule="auto"/>
        <w:rPr>
          <w:rFonts w:hint="eastAsia" w:ascii="宋体" w:hAnsi="宋体" w:cs="宋体"/>
          <w:b/>
          <w:color w:val="auto"/>
          <w:sz w:val="24"/>
          <w:szCs w:val="20"/>
        </w:rPr>
      </w:pPr>
    </w:p>
    <w:p w14:paraId="062C0D10">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3750B7E5">
      <w:pPr>
        <w:adjustRightInd w:val="0"/>
        <w:snapToGrid w:val="0"/>
        <w:spacing w:line="360" w:lineRule="auto"/>
        <w:jc w:val="center"/>
        <w:rPr>
          <w:rFonts w:hint="eastAsia" w:ascii="宋体" w:hAnsi="宋体" w:cs="宋体"/>
          <w:b/>
          <w:color w:val="auto"/>
          <w:sz w:val="24"/>
          <w:szCs w:val="20"/>
        </w:rPr>
      </w:pPr>
    </w:p>
    <w:p w14:paraId="05A0F057">
      <w:pPr>
        <w:pStyle w:val="4"/>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18699FB8">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717CFF33">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6C69E6B1">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0F4CDC25">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6ADFC4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330DDAE5">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16C398B4">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8BA54E5">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70A514C0">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25DC19E3">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03859723">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62B1F785">
      <w:pPr>
        <w:jc w:val="left"/>
        <w:rPr>
          <w:rFonts w:hint="eastAsia" w:ascii="宋体" w:hAnsi="宋体" w:eastAsia="宋体" w:cs="Times New Roman"/>
          <w:b w:val="0"/>
          <w:bCs w:val="0"/>
          <w:color w:val="auto"/>
          <w:kern w:val="2"/>
          <w:sz w:val="24"/>
          <w:szCs w:val="24"/>
          <w:lang w:val="en-US" w:eastAsia="zh-CN" w:bidi="ar-SA"/>
        </w:rPr>
      </w:pPr>
    </w:p>
    <w:p w14:paraId="47FB3CFC">
      <w:pPr>
        <w:jc w:val="left"/>
        <w:rPr>
          <w:rFonts w:hint="eastAsia" w:ascii="宋体" w:hAnsi="宋体" w:eastAsia="宋体" w:cs="Times New Roman"/>
          <w:b w:val="0"/>
          <w:bCs w:val="0"/>
          <w:color w:val="auto"/>
          <w:kern w:val="2"/>
          <w:sz w:val="24"/>
          <w:szCs w:val="24"/>
          <w:lang w:val="en-US" w:eastAsia="zh-CN" w:bidi="ar-SA"/>
        </w:rPr>
      </w:pPr>
    </w:p>
    <w:p w14:paraId="59901A1D">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15DFF11C">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0BE5A702">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76514128"/>
      <w:bookmarkStart w:id="3" w:name="_Toc486424819"/>
    </w:p>
    <w:p w14:paraId="510721AA">
      <w:pPr>
        <w:pStyle w:val="15"/>
        <w:rPr>
          <w:rFonts w:hint="eastAsia"/>
          <w:lang w:eastAsia="zh-CN"/>
        </w:rPr>
      </w:pPr>
    </w:p>
    <w:p w14:paraId="06DB0CA7">
      <w:pPr>
        <w:spacing w:before="120" w:beforeLines="50" w:after="120" w:afterLines="50" w:line="276" w:lineRule="auto"/>
        <w:jc w:val="center"/>
        <w:rPr>
          <w:b/>
          <w:color w:val="auto"/>
          <w:sz w:val="24"/>
        </w:rPr>
      </w:pPr>
      <w:r>
        <w:rPr>
          <w:b/>
          <w:color w:val="auto"/>
          <w:sz w:val="24"/>
        </w:rPr>
        <w:t>采购需求响应/偏离表</w:t>
      </w:r>
    </w:p>
    <w:p w14:paraId="7D7E809A">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0"/>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398148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1B026CC">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20CD9C14">
            <w:pPr>
              <w:adjustRightInd w:val="0"/>
              <w:snapToGrid w:val="0"/>
              <w:spacing w:before="50" w:line="360" w:lineRule="auto"/>
              <w:ind w:left="-88" w:leftChars="-42"/>
              <w:jc w:val="center"/>
              <w:rPr>
                <w:color w:val="auto"/>
                <w:szCs w:val="21"/>
              </w:rPr>
            </w:pPr>
            <w:r>
              <w:rPr>
                <w:color w:val="auto"/>
                <w:szCs w:val="21"/>
              </w:rPr>
              <w:t>招标文件章节</w:t>
            </w:r>
            <w:r>
              <w:rPr>
                <w:bCs/>
                <w:color w:val="auto"/>
                <w:szCs w:val="21"/>
              </w:rPr>
              <w:t>条</w:t>
            </w:r>
            <w:r>
              <w:rPr>
                <w:color w:val="auto"/>
                <w:szCs w:val="21"/>
              </w:rPr>
              <w:t>款号</w:t>
            </w:r>
          </w:p>
        </w:tc>
        <w:tc>
          <w:tcPr>
            <w:tcW w:w="1000" w:type="pct"/>
            <w:noWrap w:val="0"/>
            <w:vAlign w:val="top"/>
          </w:tcPr>
          <w:p w14:paraId="13A17B38">
            <w:pPr>
              <w:adjustRightInd w:val="0"/>
              <w:snapToGrid w:val="0"/>
              <w:spacing w:before="50" w:line="360" w:lineRule="auto"/>
              <w:jc w:val="center"/>
              <w:rPr>
                <w:color w:val="auto"/>
              </w:rPr>
            </w:pPr>
            <w:r>
              <w:rPr>
                <w:color w:val="auto"/>
              </w:rPr>
              <w:t>招标文件要求</w:t>
            </w:r>
          </w:p>
        </w:tc>
        <w:tc>
          <w:tcPr>
            <w:tcW w:w="962" w:type="pct"/>
            <w:noWrap w:val="0"/>
            <w:vAlign w:val="top"/>
          </w:tcPr>
          <w:p w14:paraId="64365777">
            <w:pPr>
              <w:adjustRightInd w:val="0"/>
              <w:snapToGrid w:val="0"/>
              <w:spacing w:before="50" w:line="360" w:lineRule="auto"/>
              <w:jc w:val="center"/>
              <w:rPr>
                <w:color w:val="auto"/>
              </w:rPr>
            </w:pPr>
            <w:r>
              <w:rPr>
                <w:color w:val="auto"/>
              </w:rPr>
              <w:t>投标文件应答</w:t>
            </w:r>
          </w:p>
        </w:tc>
        <w:tc>
          <w:tcPr>
            <w:tcW w:w="905" w:type="pct"/>
            <w:noWrap w:val="0"/>
            <w:vAlign w:val="center"/>
          </w:tcPr>
          <w:p w14:paraId="715E9691">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66CE6E">
            <w:pPr>
              <w:adjustRightInd w:val="0"/>
              <w:snapToGrid w:val="0"/>
              <w:spacing w:before="50" w:line="360" w:lineRule="auto"/>
              <w:ind w:left="-88" w:leftChars="-42"/>
              <w:jc w:val="center"/>
              <w:rPr>
                <w:color w:val="auto"/>
                <w:szCs w:val="21"/>
              </w:rPr>
            </w:pPr>
            <w:r>
              <w:rPr>
                <w:color w:val="auto"/>
                <w:szCs w:val="21"/>
              </w:rPr>
              <w:t>偏离说明</w:t>
            </w:r>
          </w:p>
        </w:tc>
      </w:tr>
      <w:tr w14:paraId="6CB9654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18991144">
            <w:pPr>
              <w:adjustRightInd w:val="0"/>
              <w:snapToGrid w:val="0"/>
              <w:spacing w:before="50" w:line="360" w:lineRule="auto"/>
              <w:ind w:left="-88" w:leftChars="-42"/>
              <w:jc w:val="center"/>
              <w:rPr>
                <w:color w:val="auto"/>
                <w:szCs w:val="21"/>
              </w:rPr>
            </w:pPr>
          </w:p>
        </w:tc>
        <w:tc>
          <w:tcPr>
            <w:tcW w:w="1123" w:type="pct"/>
            <w:noWrap w:val="0"/>
            <w:vAlign w:val="center"/>
          </w:tcPr>
          <w:p w14:paraId="6A90705A">
            <w:pPr>
              <w:adjustRightInd w:val="0"/>
              <w:snapToGrid w:val="0"/>
              <w:spacing w:before="50" w:line="360" w:lineRule="auto"/>
              <w:ind w:left="-88" w:leftChars="-42"/>
              <w:jc w:val="center"/>
              <w:rPr>
                <w:color w:val="auto"/>
                <w:szCs w:val="21"/>
              </w:rPr>
            </w:pPr>
          </w:p>
        </w:tc>
        <w:tc>
          <w:tcPr>
            <w:tcW w:w="1000" w:type="pct"/>
            <w:noWrap w:val="0"/>
            <w:vAlign w:val="center"/>
          </w:tcPr>
          <w:p w14:paraId="04271540">
            <w:pPr>
              <w:adjustRightInd w:val="0"/>
              <w:snapToGrid w:val="0"/>
              <w:spacing w:before="50" w:line="360" w:lineRule="auto"/>
              <w:ind w:left="-88" w:leftChars="-42"/>
              <w:jc w:val="center"/>
              <w:rPr>
                <w:color w:val="auto"/>
                <w:szCs w:val="21"/>
              </w:rPr>
            </w:pPr>
          </w:p>
        </w:tc>
        <w:tc>
          <w:tcPr>
            <w:tcW w:w="962" w:type="pct"/>
            <w:noWrap w:val="0"/>
            <w:vAlign w:val="center"/>
          </w:tcPr>
          <w:p w14:paraId="5E622A19">
            <w:pPr>
              <w:adjustRightInd w:val="0"/>
              <w:snapToGrid w:val="0"/>
              <w:spacing w:before="50" w:line="360" w:lineRule="auto"/>
              <w:ind w:left="-88" w:leftChars="-42"/>
              <w:jc w:val="center"/>
              <w:rPr>
                <w:color w:val="auto"/>
                <w:szCs w:val="21"/>
              </w:rPr>
            </w:pPr>
          </w:p>
        </w:tc>
        <w:tc>
          <w:tcPr>
            <w:tcW w:w="905" w:type="pct"/>
            <w:noWrap w:val="0"/>
            <w:vAlign w:val="center"/>
          </w:tcPr>
          <w:p w14:paraId="2738D904">
            <w:pPr>
              <w:adjustRightInd w:val="0"/>
              <w:snapToGrid w:val="0"/>
              <w:spacing w:before="50" w:line="360" w:lineRule="auto"/>
              <w:ind w:left="-88" w:leftChars="-42"/>
              <w:jc w:val="center"/>
              <w:rPr>
                <w:color w:val="auto"/>
                <w:szCs w:val="21"/>
              </w:rPr>
            </w:pPr>
          </w:p>
        </w:tc>
        <w:tc>
          <w:tcPr>
            <w:tcW w:w="634" w:type="pct"/>
            <w:noWrap w:val="0"/>
            <w:vAlign w:val="center"/>
          </w:tcPr>
          <w:p w14:paraId="3CC471ED">
            <w:pPr>
              <w:adjustRightInd w:val="0"/>
              <w:snapToGrid w:val="0"/>
              <w:spacing w:before="50" w:line="360" w:lineRule="auto"/>
              <w:ind w:left="-88" w:leftChars="-42"/>
              <w:jc w:val="center"/>
              <w:rPr>
                <w:color w:val="auto"/>
                <w:szCs w:val="21"/>
              </w:rPr>
            </w:pPr>
          </w:p>
        </w:tc>
      </w:tr>
      <w:tr w14:paraId="1D24B0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11589AC7">
            <w:pPr>
              <w:adjustRightInd w:val="0"/>
              <w:snapToGrid w:val="0"/>
              <w:spacing w:before="50" w:line="360" w:lineRule="auto"/>
              <w:ind w:left="-88" w:leftChars="-42"/>
              <w:jc w:val="center"/>
              <w:rPr>
                <w:color w:val="auto"/>
                <w:szCs w:val="21"/>
              </w:rPr>
            </w:pPr>
          </w:p>
        </w:tc>
        <w:tc>
          <w:tcPr>
            <w:tcW w:w="1123" w:type="pct"/>
            <w:noWrap w:val="0"/>
            <w:vAlign w:val="center"/>
          </w:tcPr>
          <w:p w14:paraId="0034D4B1">
            <w:pPr>
              <w:adjustRightInd w:val="0"/>
              <w:snapToGrid w:val="0"/>
              <w:spacing w:before="50" w:line="360" w:lineRule="auto"/>
              <w:ind w:left="-88" w:leftChars="-42"/>
              <w:jc w:val="center"/>
              <w:rPr>
                <w:color w:val="auto"/>
                <w:szCs w:val="21"/>
              </w:rPr>
            </w:pPr>
          </w:p>
        </w:tc>
        <w:tc>
          <w:tcPr>
            <w:tcW w:w="1000" w:type="pct"/>
            <w:noWrap w:val="0"/>
            <w:vAlign w:val="center"/>
          </w:tcPr>
          <w:p w14:paraId="4C6754B5">
            <w:pPr>
              <w:adjustRightInd w:val="0"/>
              <w:snapToGrid w:val="0"/>
              <w:spacing w:before="50" w:line="360" w:lineRule="auto"/>
              <w:ind w:left="-88" w:leftChars="-42"/>
              <w:jc w:val="center"/>
              <w:rPr>
                <w:color w:val="auto"/>
                <w:szCs w:val="21"/>
              </w:rPr>
            </w:pPr>
          </w:p>
        </w:tc>
        <w:tc>
          <w:tcPr>
            <w:tcW w:w="962" w:type="pct"/>
            <w:noWrap w:val="0"/>
            <w:vAlign w:val="center"/>
          </w:tcPr>
          <w:p w14:paraId="1A255DC2">
            <w:pPr>
              <w:adjustRightInd w:val="0"/>
              <w:snapToGrid w:val="0"/>
              <w:spacing w:before="50" w:line="360" w:lineRule="auto"/>
              <w:ind w:left="-88" w:leftChars="-42"/>
              <w:jc w:val="center"/>
              <w:rPr>
                <w:color w:val="auto"/>
                <w:szCs w:val="21"/>
              </w:rPr>
            </w:pPr>
          </w:p>
        </w:tc>
        <w:tc>
          <w:tcPr>
            <w:tcW w:w="905" w:type="pct"/>
            <w:noWrap w:val="0"/>
            <w:vAlign w:val="center"/>
          </w:tcPr>
          <w:p w14:paraId="1C19F4F4">
            <w:pPr>
              <w:adjustRightInd w:val="0"/>
              <w:snapToGrid w:val="0"/>
              <w:spacing w:before="50" w:line="360" w:lineRule="auto"/>
              <w:ind w:left="-88" w:leftChars="-42"/>
              <w:jc w:val="center"/>
              <w:rPr>
                <w:color w:val="auto"/>
                <w:szCs w:val="21"/>
              </w:rPr>
            </w:pPr>
          </w:p>
        </w:tc>
        <w:tc>
          <w:tcPr>
            <w:tcW w:w="634" w:type="pct"/>
            <w:noWrap w:val="0"/>
            <w:vAlign w:val="center"/>
          </w:tcPr>
          <w:p w14:paraId="1DB72303">
            <w:pPr>
              <w:adjustRightInd w:val="0"/>
              <w:snapToGrid w:val="0"/>
              <w:spacing w:before="50" w:line="360" w:lineRule="auto"/>
              <w:ind w:left="-88" w:leftChars="-42"/>
              <w:jc w:val="center"/>
              <w:rPr>
                <w:color w:val="auto"/>
                <w:szCs w:val="21"/>
              </w:rPr>
            </w:pPr>
          </w:p>
        </w:tc>
      </w:tr>
      <w:tr w14:paraId="69E4D2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64DFE605">
            <w:pPr>
              <w:adjustRightInd w:val="0"/>
              <w:snapToGrid w:val="0"/>
              <w:spacing w:before="50" w:line="360" w:lineRule="auto"/>
              <w:ind w:left="-88" w:leftChars="-42"/>
              <w:jc w:val="center"/>
              <w:rPr>
                <w:color w:val="auto"/>
                <w:szCs w:val="21"/>
              </w:rPr>
            </w:pPr>
          </w:p>
        </w:tc>
        <w:tc>
          <w:tcPr>
            <w:tcW w:w="1123" w:type="pct"/>
            <w:noWrap w:val="0"/>
            <w:vAlign w:val="center"/>
          </w:tcPr>
          <w:p w14:paraId="63674615">
            <w:pPr>
              <w:adjustRightInd w:val="0"/>
              <w:snapToGrid w:val="0"/>
              <w:spacing w:before="50" w:line="360" w:lineRule="auto"/>
              <w:ind w:left="-88" w:leftChars="-42"/>
              <w:jc w:val="center"/>
              <w:rPr>
                <w:color w:val="auto"/>
                <w:szCs w:val="21"/>
              </w:rPr>
            </w:pPr>
          </w:p>
        </w:tc>
        <w:tc>
          <w:tcPr>
            <w:tcW w:w="1000" w:type="pct"/>
            <w:noWrap w:val="0"/>
            <w:vAlign w:val="center"/>
          </w:tcPr>
          <w:p w14:paraId="4F855F41">
            <w:pPr>
              <w:adjustRightInd w:val="0"/>
              <w:snapToGrid w:val="0"/>
              <w:spacing w:before="50" w:line="360" w:lineRule="auto"/>
              <w:ind w:left="-88" w:leftChars="-42"/>
              <w:jc w:val="center"/>
              <w:rPr>
                <w:color w:val="auto"/>
                <w:szCs w:val="21"/>
              </w:rPr>
            </w:pPr>
          </w:p>
        </w:tc>
        <w:tc>
          <w:tcPr>
            <w:tcW w:w="962" w:type="pct"/>
            <w:noWrap w:val="0"/>
            <w:vAlign w:val="center"/>
          </w:tcPr>
          <w:p w14:paraId="7D19764F">
            <w:pPr>
              <w:adjustRightInd w:val="0"/>
              <w:snapToGrid w:val="0"/>
              <w:spacing w:before="50" w:line="360" w:lineRule="auto"/>
              <w:ind w:left="-88" w:leftChars="-42"/>
              <w:jc w:val="center"/>
              <w:rPr>
                <w:color w:val="auto"/>
                <w:szCs w:val="21"/>
              </w:rPr>
            </w:pPr>
          </w:p>
        </w:tc>
        <w:tc>
          <w:tcPr>
            <w:tcW w:w="905" w:type="pct"/>
            <w:noWrap w:val="0"/>
            <w:vAlign w:val="center"/>
          </w:tcPr>
          <w:p w14:paraId="387E2D80">
            <w:pPr>
              <w:adjustRightInd w:val="0"/>
              <w:snapToGrid w:val="0"/>
              <w:spacing w:before="50" w:line="360" w:lineRule="auto"/>
              <w:ind w:left="-88" w:leftChars="-42"/>
              <w:jc w:val="center"/>
              <w:rPr>
                <w:color w:val="auto"/>
                <w:szCs w:val="21"/>
              </w:rPr>
            </w:pPr>
          </w:p>
        </w:tc>
        <w:tc>
          <w:tcPr>
            <w:tcW w:w="634" w:type="pct"/>
            <w:noWrap w:val="0"/>
            <w:vAlign w:val="center"/>
          </w:tcPr>
          <w:p w14:paraId="1F8879A3">
            <w:pPr>
              <w:adjustRightInd w:val="0"/>
              <w:snapToGrid w:val="0"/>
              <w:spacing w:before="50" w:line="360" w:lineRule="auto"/>
              <w:ind w:left="-88" w:leftChars="-42"/>
              <w:jc w:val="center"/>
              <w:rPr>
                <w:color w:val="auto"/>
                <w:szCs w:val="21"/>
              </w:rPr>
            </w:pPr>
          </w:p>
        </w:tc>
      </w:tr>
      <w:tr w14:paraId="0DF1FE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749B4687">
            <w:pPr>
              <w:rPr>
                <w:b/>
                <w:color w:val="auto"/>
              </w:rPr>
            </w:pPr>
          </w:p>
        </w:tc>
      </w:tr>
    </w:tbl>
    <w:p w14:paraId="697F230A">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35716E13">
      <w:pPr>
        <w:adjustRightInd w:val="0"/>
        <w:snapToGrid w:val="0"/>
        <w:spacing w:before="50" w:line="360" w:lineRule="auto"/>
        <w:ind w:left="-88" w:leftChars="-42"/>
        <w:rPr>
          <w:rFonts w:hint="eastAsia"/>
          <w:color w:val="auto"/>
          <w:sz w:val="24"/>
        </w:rPr>
      </w:pPr>
      <w:r>
        <w:rPr>
          <w:color w:val="auto"/>
          <w:sz w:val="24"/>
        </w:rPr>
        <w:t>（1）投标人应根据招标文件第</w:t>
      </w:r>
      <w:r>
        <w:rPr>
          <w:rFonts w:hint="eastAsia"/>
          <w:color w:val="auto"/>
          <w:sz w:val="24"/>
          <w:lang w:val="en-US" w:eastAsia="zh-CN"/>
        </w:rPr>
        <w:t>二</w:t>
      </w:r>
      <w:r>
        <w:rPr>
          <w:color w:val="auto"/>
          <w:sz w:val="24"/>
        </w:rPr>
        <w:t>章中采购需求填写本表，逐条应答；</w:t>
      </w:r>
    </w:p>
    <w:p w14:paraId="139ED8A9">
      <w:pPr>
        <w:adjustRightInd w:val="0"/>
        <w:snapToGrid w:val="0"/>
        <w:spacing w:before="50" w:line="360" w:lineRule="auto"/>
        <w:ind w:left="-88" w:leftChars="-42"/>
        <w:rPr>
          <w:rFonts w:hint="eastAsia"/>
          <w:color w:val="auto"/>
          <w:sz w:val="24"/>
        </w:rPr>
      </w:pPr>
      <w:r>
        <w:rPr>
          <w:color w:val="auto"/>
          <w:sz w:val="24"/>
        </w:rPr>
        <w:t>（2）如不提供此表，则视为投标人不满足招标文件第三章的所有条款要求，其投标无效；</w:t>
      </w:r>
    </w:p>
    <w:p w14:paraId="106FD182">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3136756E">
      <w:pPr>
        <w:pStyle w:val="16"/>
        <w:rPr>
          <w:color w:val="auto"/>
        </w:rPr>
      </w:pPr>
    </w:p>
    <w:p w14:paraId="73D1C885">
      <w:pPr>
        <w:pStyle w:val="15"/>
        <w:rPr>
          <w:rFonts w:hint="eastAsia"/>
          <w:lang w:eastAsia="zh-CN"/>
        </w:rPr>
      </w:pPr>
    </w:p>
    <w:p w14:paraId="6FE04B10"/>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Arial Unicode MS"/>
    <w:panose1 w:val="02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6D478A">
    <w:pPr>
      <w:pStyle w:val="6"/>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364D75">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1364D75">
                    <w:pPr>
                      <w:pStyle w:val="6"/>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04AA74B6">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915414">
    <w:pPr>
      <w:pStyle w:val="6"/>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6C99FB">
                          <w:pPr>
                            <w:pStyle w:val="6"/>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D6C99FB">
                    <w:pPr>
                      <w:pStyle w:val="6"/>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6A2EFDEE">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A413EB">
    <w:pPr>
      <w:pStyle w:val="7"/>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abstractNum w:abstractNumId="1">
    <w:nsid w:val="EF7BD906"/>
    <w:multiLevelType w:val="singleLevel"/>
    <w:tmpl w:val="EF7BD906"/>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3874EFF"/>
    <w:rsid w:val="04653F41"/>
    <w:rsid w:val="04B72FC8"/>
    <w:rsid w:val="06064044"/>
    <w:rsid w:val="06E91EC4"/>
    <w:rsid w:val="07A955CA"/>
    <w:rsid w:val="08135FFD"/>
    <w:rsid w:val="086F75C9"/>
    <w:rsid w:val="08F04266"/>
    <w:rsid w:val="0A3F4F3C"/>
    <w:rsid w:val="0E331420"/>
    <w:rsid w:val="0EDD1643"/>
    <w:rsid w:val="0FB9029C"/>
    <w:rsid w:val="0FC44DAF"/>
    <w:rsid w:val="10914EF9"/>
    <w:rsid w:val="12080B62"/>
    <w:rsid w:val="12994AC5"/>
    <w:rsid w:val="129F447F"/>
    <w:rsid w:val="12C86253"/>
    <w:rsid w:val="15060AC8"/>
    <w:rsid w:val="15675A4C"/>
    <w:rsid w:val="15F259FD"/>
    <w:rsid w:val="17F91BB8"/>
    <w:rsid w:val="1AF56B46"/>
    <w:rsid w:val="1B7A31D2"/>
    <w:rsid w:val="1E79119D"/>
    <w:rsid w:val="1F334F58"/>
    <w:rsid w:val="1F796B24"/>
    <w:rsid w:val="1FE73549"/>
    <w:rsid w:val="2038045E"/>
    <w:rsid w:val="20B41DA7"/>
    <w:rsid w:val="272B6E6C"/>
    <w:rsid w:val="27CF2BB7"/>
    <w:rsid w:val="28E81B29"/>
    <w:rsid w:val="29B45A41"/>
    <w:rsid w:val="2C0A2E19"/>
    <w:rsid w:val="2C7642D0"/>
    <w:rsid w:val="2C902767"/>
    <w:rsid w:val="2DD77C64"/>
    <w:rsid w:val="2DDA1E78"/>
    <w:rsid w:val="2DE00B8C"/>
    <w:rsid w:val="2EAC037F"/>
    <w:rsid w:val="2EB67A5C"/>
    <w:rsid w:val="302741D2"/>
    <w:rsid w:val="308B184D"/>
    <w:rsid w:val="33384C93"/>
    <w:rsid w:val="340F06E9"/>
    <w:rsid w:val="372F7378"/>
    <w:rsid w:val="39182A16"/>
    <w:rsid w:val="397348CD"/>
    <w:rsid w:val="3B3B544D"/>
    <w:rsid w:val="3B654F2B"/>
    <w:rsid w:val="3BB72BAE"/>
    <w:rsid w:val="3C8A61A4"/>
    <w:rsid w:val="3D5E17FF"/>
    <w:rsid w:val="3E1F0DA4"/>
    <w:rsid w:val="3E584E51"/>
    <w:rsid w:val="3EBE1ADE"/>
    <w:rsid w:val="403B4B34"/>
    <w:rsid w:val="414D7889"/>
    <w:rsid w:val="41BB0BAE"/>
    <w:rsid w:val="41D61543"/>
    <w:rsid w:val="42925929"/>
    <w:rsid w:val="429A4992"/>
    <w:rsid w:val="435B161D"/>
    <w:rsid w:val="43B25DAC"/>
    <w:rsid w:val="43BB3965"/>
    <w:rsid w:val="44771DFD"/>
    <w:rsid w:val="45D569C3"/>
    <w:rsid w:val="46E52F77"/>
    <w:rsid w:val="4AEE1A11"/>
    <w:rsid w:val="4B7F39F4"/>
    <w:rsid w:val="4BAE646F"/>
    <w:rsid w:val="4C65380A"/>
    <w:rsid w:val="4CAC1559"/>
    <w:rsid w:val="4D754257"/>
    <w:rsid w:val="4DCD6AB3"/>
    <w:rsid w:val="50216DCD"/>
    <w:rsid w:val="50540C20"/>
    <w:rsid w:val="51AC28BD"/>
    <w:rsid w:val="53984ABA"/>
    <w:rsid w:val="581A7C72"/>
    <w:rsid w:val="583A4BD7"/>
    <w:rsid w:val="58E10166"/>
    <w:rsid w:val="59C74B1F"/>
    <w:rsid w:val="5C682866"/>
    <w:rsid w:val="5D484535"/>
    <w:rsid w:val="611B6B1B"/>
    <w:rsid w:val="62C222C2"/>
    <w:rsid w:val="632D7C40"/>
    <w:rsid w:val="64133D6A"/>
    <w:rsid w:val="656C6866"/>
    <w:rsid w:val="676A25AA"/>
    <w:rsid w:val="678E4F5D"/>
    <w:rsid w:val="67DF33A4"/>
    <w:rsid w:val="67E45843"/>
    <w:rsid w:val="680E122C"/>
    <w:rsid w:val="6A4E1D63"/>
    <w:rsid w:val="6D3A6E62"/>
    <w:rsid w:val="6DE375E4"/>
    <w:rsid w:val="6E8E5287"/>
    <w:rsid w:val="6FBE332C"/>
    <w:rsid w:val="71554367"/>
    <w:rsid w:val="71584067"/>
    <w:rsid w:val="735201FF"/>
    <w:rsid w:val="737B50A4"/>
    <w:rsid w:val="73F40E72"/>
    <w:rsid w:val="74566F5C"/>
    <w:rsid w:val="7500222B"/>
    <w:rsid w:val="750117A8"/>
    <w:rsid w:val="755B2270"/>
    <w:rsid w:val="76920D75"/>
    <w:rsid w:val="77423DFF"/>
    <w:rsid w:val="783B5EA9"/>
    <w:rsid w:val="79EB699D"/>
    <w:rsid w:val="7B0620DE"/>
    <w:rsid w:val="7BBF44BB"/>
    <w:rsid w:val="7BF15CE4"/>
    <w:rsid w:val="7C3A27E5"/>
    <w:rsid w:val="7D9727DD"/>
    <w:rsid w:val="7EFB4F6E"/>
    <w:rsid w:val="7F1A5E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2"/>
    <w:basedOn w:val="1"/>
    <w:next w:val="1"/>
    <w:qFormat/>
    <w:uiPriority w:val="0"/>
    <w:pPr>
      <w:keepNext/>
      <w:keepLines/>
      <w:spacing w:line="360" w:lineRule="auto"/>
      <w:outlineLvl w:val="1"/>
    </w:pPr>
    <w:rPr>
      <w:rFonts w:ascii="Arial" w:hAnsi="Arial"/>
      <w:b/>
      <w:bCs/>
      <w:sz w:val="24"/>
      <w:szCs w:val="32"/>
    </w:rPr>
  </w:style>
  <w:style w:type="paragraph" w:styleId="4">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1">
    <w:name w:val="Default Paragraph Font"/>
    <w:autoRedefine/>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5">
    <w:name w:val="Body Text Indent"/>
    <w:basedOn w:val="1"/>
    <w:autoRedefine/>
    <w:qFormat/>
    <w:uiPriority w:val="99"/>
    <w:pPr>
      <w:spacing w:line="400" w:lineRule="exact"/>
      <w:ind w:left="630"/>
    </w:pPr>
    <w:rPr>
      <w:rFonts w:ascii="楷体_GB2312"/>
      <w:sz w:val="30"/>
      <w:szCs w:val="30"/>
    </w:rPr>
  </w:style>
  <w:style w:type="paragraph" w:styleId="6">
    <w:name w:val="footer"/>
    <w:basedOn w:val="1"/>
    <w:autoRedefine/>
    <w:qFormat/>
    <w:uiPriority w:val="0"/>
    <w:pPr>
      <w:tabs>
        <w:tab w:val="center" w:pos="4153"/>
        <w:tab w:val="right" w:pos="8306"/>
      </w:tabs>
      <w:snapToGrid w:val="0"/>
      <w:jc w:val="left"/>
    </w:pPr>
    <w:rPr>
      <w:kern w:val="0"/>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autoRedefine/>
    <w:qFormat/>
    <w:uiPriority w:val="0"/>
    <w:rPr>
      <w:sz w:val="24"/>
    </w:rPr>
  </w:style>
  <w:style w:type="paragraph" w:styleId="9">
    <w:name w:val="Body Text First Indent 2"/>
    <w:basedOn w:val="5"/>
    <w:autoRedefine/>
    <w:qFormat/>
    <w:uiPriority w:val="0"/>
    <w:pPr>
      <w:overflowPunct w:val="0"/>
      <w:adjustRightInd w:val="0"/>
      <w:spacing w:line="500" w:lineRule="exact"/>
      <w:ind w:firstLine="420" w:firstLineChars="200"/>
      <w:textAlignment w:val="baseline"/>
    </w:pPr>
    <w:rPr>
      <w:rFonts w:eastAsia="仿宋_GB2312"/>
      <w:kern w:val="28"/>
      <w:sz w:val="28"/>
    </w:rPr>
  </w:style>
  <w:style w:type="paragraph" w:customStyle="1" w:styleId="12">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3">
    <w:name w:val="Default"/>
    <w:next w:val="14"/>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4">
    <w:name w:val="大标题"/>
    <w:basedOn w:val="1"/>
    <w:next w:val="9"/>
    <w:autoRedefine/>
    <w:qFormat/>
    <w:uiPriority w:val="0"/>
    <w:pPr>
      <w:jc w:val="center"/>
    </w:pPr>
    <w:rPr>
      <w:rFonts w:ascii="Arial" w:hAnsi="Arial" w:eastAsia="宋体"/>
      <w:b/>
      <w:sz w:val="28"/>
      <w:szCs w:val="24"/>
    </w:rPr>
  </w:style>
  <w:style w:type="paragraph" w:customStyle="1" w:styleId="15">
    <w:name w:val="列出段落1"/>
    <w:basedOn w:val="1"/>
    <w:autoRedefine/>
    <w:qFormat/>
    <w:uiPriority w:val="99"/>
    <w:pPr>
      <w:ind w:firstLine="420" w:firstLineChars="200"/>
    </w:pPr>
  </w:style>
  <w:style w:type="paragraph" w:customStyle="1" w:styleId="16">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7">
    <w:name w:val="List Paragraph"/>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8248</Words>
  <Characters>8889</Characters>
  <Lines>0</Lines>
  <Paragraphs>0</Paragraphs>
  <TotalTime>0</TotalTime>
  <ScaleCrop>false</ScaleCrop>
  <LinksUpToDate>false</LinksUpToDate>
  <CharactersWithSpaces>9876</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Administrator</cp:lastModifiedBy>
  <dcterms:modified xsi:type="dcterms:W3CDTF">2024-10-25T03:04:51Z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3505A2AB25E048A4A9B0E6A6741CA1BA_11</vt:lpwstr>
  </property>
</Properties>
</file>