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5"/>
        <w:snapToGrid w:val="0"/>
        <w:jc w:val="center"/>
        <w:rPr>
          <w:rFonts w:hint="eastAsia" w:ascii="Arial" w:hAnsi="Arial" w:eastAsia="方正小标宋简体" w:cs="Arial"/>
          <w:color w:val="auto"/>
          <w:sz w:val="72"/>
          <w:szCs w:val="72"/>
          <w:lang w:eastAsia="zh-CN"/>
        </w:rPr>
      </w:pPr>
      <w:bookmarkStart w:id="0" w:name="_Toc16523570"/>
    </w:p>
    <w:p w14:paraId="624C34B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5"/>
        <w:snapToGrid w:val="0"/>
        <w:jc w:val="center"/>
        <w:rPr>
          <w:rFonts w:hint="eastAsia" w:ascii="Arial" w:hAnsi="Arial" w:eastAsia="方正小标宋简体" w:cs="Arial"/>
          <w:sz w:val="72"/>
          <w:szCs w:val="72"/>
        </w:rPr>
      </w:pPr>
    </w:p>
    <w:p w14:paraId="16E58BC0">
      <w:pPr>
        <w:pStyle w:val="15"/>
        <w:snapToGrid w:val="0"/>
        <w:jc w:val="center"/>
        <w:rPr>
          <w:rFonts w:hint="eastAsia" w:ascii="Arial" w:hAnsi="Arial" w:eastAsia="方正小标宋简体" w:cs="Arial"/>
          <w:sz w:val="72"/>
          <w:szCs w:val="72"/>
        </w:rPr>
      </w:pPr>
    </w:p>
    <w:p w14:paraId="7D3C3256">
      <w:pPr>
        <w:pStyle w:val="15"/>
        <w:snapToGrid w:val="0"/>
        <w:jc w:val="center"/>
        <w:rPr>
          <w:rFonts w:hint="eastAsia" w:ascii="Arial" w:hAnsi="Arial" w:eastAsia="方正小标宋简体" w:cs="Arial"/>
          <w:sz w:val="72"/>
          <w:szCs w:val="72"/>
        </w:rPr>
      </w:pPr>
    </w:p>
    <w:p w14:paraId="247FDB9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lang w:val="en-US" w:eastAsia="zh-CN"/>
        </w:rPr>
        <w:t>采购</w:t>
      </w:r>
      <w:r>
        <w:rPr>
          <w:rFonts w:hint="eastAsia" w:ascii="Arial" w:hAnsi="Arial" w:eastAsia="方正小标宋简体" w:cs="Arial"/>
          <w:sz w:val="72"/>
          <w:szCs w:val="72"/>
        </w:rPr>
        <w:t>文件</w:t>
      </w:r>
    </w:p>
    <w:p w14:paraId="25FEE0C6">
      <w:pPr>
        <w:pStyle w:val="15"/>
        <w:snapToGrid w:val="0"/>
        <w:jc w:val="center"/>
        <w:rPr>
          <w:rFonts w:ascii="Arial" w:hAnsi="Arial" w:cs="Arial"/>
          <w:sz w:val="32"/>
          <w:szCs w:val="32"/>
        </w:rPr>
      </w:pPr>
    </w:p>
    <w:p w14:paraId="1B92FFA5">
      <w:pPr>
        <w:pStyle w:val="15"/>
        <w:snapToGrid w:val="0"/>
        <w:jc w:val="center"/>
        <w:rPr>
          <w:rFonts w:ascii="Arial" w:hAnsi="Arial" w:cs="Arial"/>
          <w:sz w:val="32"/>
          <w:szCs w:val="32"/>
        </w:rPr>
      </w:pPr>
    </w:p>
    <w:p w14:paraId="3EB4A47A">
      <w:pPr>
        <w:pStyle w:val="15"/>
        <w:snapToGrid w:val="0"/>
        <w:jc w:val="center"/>
        <w:rPr>
          <w:rFonts w:ascii="Arial" w:hAnsi="Arial" w:cs="Arial"/>
          <w:sz w:val="32"/>
          <w:szCs w:val="32"/>
        </w:rPr>
      </w:pPr>
    </w:p>
    <w:p w14:paraId="47E5EED4">
      <w:pPr>
        <w:pStyle w:val="16"/>
        <w:rPr>
          <w:rFonts w:ascii="Arial" w:hAnsi="Arial" w:cs="Arial"/>
          <w:sz w:val="32"/>
          <w:szCs w:val="32"/>
        </w:rPr>
      </w:pPr>
    </w:p>
    <w:p w14:paraId="19CAF023">
      <w:pPr>
        <w:pStyle w:val="11"/>
        <w:rPr>
          <w:rFonts w:ascii="Arial" w:hAnsi="Arial" w:cs="Arial"/>
          <w:sz w:val="32"/>
          <w:szCs w:val="32"/>
        </w:rPr>
      </w:pPr>
    </w:p>
    <w:p w14:paraId="3A5D93D8">
      <w:pPr>
        <w:pStyle w:val="11"/>
        <w:rPr>
          <w:rFonts w:ascii="Arial" w:hAnsi="Arial" w:cs="Arial"/>
          <w:sz w:val="32"/>
          <w:szCs w:val="32"/>
        </w:rPr>
      </w:pPr>
    </w:p>
    <w:p w14:paraId="08AB9925">
      <w:pPr>
        <w:pStyle w:val="11"/>
        <w:rPr>
          <w:rFonts w:ascii="Arial" w:hAnsi="Arial" w:cs="Arial"/>
          <w:sz w:val="32"/>
          <w:szCs w:val="32"/>
        </w:rPr>
      </w:pPr>
    </w:p>
    <w:p w14:paraId="661F983B">
      <w:pPr>
        <w:pStyle w:val="11"/>
        <w:rPr>
          <w:rFonts w:ascii="Arial" w:hAnsi="Arial" w:cs="Arial"/>
          <w:sz w:val="32"/>
          <w:szCs w:val="32"/>
        </w:rPr>
      </w:pPr>
    </w:p>
    <w:p w14:paraId="4BF5C390">
      <w:pPr>
        <w:pStyle w:val="11"/>
        <w:rPr>
          <w:rFonts w:ascii="Arial" w:hAnsi="Arial" w:cs="Arial"/>
          <w:sz w:val="32"/>
          <w:szCs w:val="32"/>
        </w:rPr>
      </w:pPr>
    </w:p>
    <w:p w14:paraId="3929FD3A">
      <w:pPr>
        <w:pStyle w:val="11"/>
        <w:rPr>
          <w:rFonts w:ascii="Arial" w:hAnsi="Arial" w:cs="Arial"/>
          <w:sz w:val="32"/>
          <w:szCs w:val="32"/>
        </w:rPr>
      </w:pPr>
    </w:p>
    <w:p w14:paraId="11F65496">
      <w:pPr>
        <w:pStyle w:val="11"/>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（新型言语障碍评估及康复训练系统医院公开挂网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二</w:t>
      </w:r>
      <w:r>
        <w:rPr>
          <w:rFonts w:hint="eastAsia" w:ascii="宋体" w:hAnsi="宋体" w:cs="宋体"/>
          <w:bCs/>
          <w:sz w:val="32"/>
          <w:szCs w:val="32"/>
        </w:rPr>
        <w:t>月</w:t>
      </w:r>
    </w:p>
    <w:p w14:paraId="006D2227">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新型言语障碍评估及康复训练系统</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新型言语障碍评估及康复训练系统</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03E8934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lang w:val="en-US" w:eastAsia="zh-CN"/>
        </w:rPr>
      </w:pPr>
    </w:p>
    <w:p w14:paraId="687E9235">
      <w:pPr>
        <w:pStyle w:val="16"/>
        <w:jc w:val="both"/>
        <w:rPr>
          <w:rFonts w:hint="default"/>
          <w:lang w:val="en-US" w:eastAsia="zh-CN"/>
        </w:rPr>
      </w:pPr>
    </w:p>
    <w:p w14:paraId="7AECD5DA">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6"/>
        <w:rPr>
          <w:rFonts w:hint="eastAsia" w:ascii="宋体" w:hAnsi="宋体" w:cs="宋体"/>
          <w:b/>
          <w:bCs/>
          <w:color w:val="auto"/>
          <w:sz w:val="44"/>
          <w:szCs w:val="44"/>
          <w:lang w:val="en-US" w:eastAsia="zh-CN"/>
        </w:rPr>
      </w:pPr>
    </w:p>
    <w:p w14:paraId="69D61396">
      <w:pPr>
        <w:pStyle w:val="11"/>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4"/>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2"/>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新型言语障碍评估及康复训练系统</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9</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13B0BFC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C43D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8524A8">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43F7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BD556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9</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0EC4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5482209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3C33C15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多障碍覆盖：全面支持多种语言、认知障碍类型，包括失语症（如Wernicke、Broca等各亚型）、听觉障碍（先天/后天）、构音障碍（运动性/器质性/功能性）、认知障碍（轻度至重度）、书写障碍（视空间/运动性）等。</w:t>
      </w:r>
    </w:p>
    <w:p w14:paraId="6AC8601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综合评估：运用模糊信息处理技术，实现语言链各环节的精细化测评。涵盖听觉理解（图匹配、听指图等）、视觉理解、语音、口语表达（复述、命名等）、书写表达（临摹、抄写等）。自动适配个体语言水平，输出详尽评估报告。</w:t>
      </w:r>
    </w:p>
    <w:p w14:paraId="1B7DF3F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3、ICF评估与质控：生成语言功能动态评估报告，量化损伤程度，并提供个性化康复建议。通过报告对比监测疗效进展。</w:t>
      </w:r>
    </w:p>
    <w:p w14:paraId="4EB527A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4、标准化量表评估：集成国际通用量表，实现认知、语言、言语障碍的电子化智能评估，自动化分析评分，快速生成结果。</w:t>
      </w:r>
    </w:p>
    <w:p w14:paraId="4CA4CB7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5、阶梯式训练体系：针对理解能力（听指令指图等）、表达能力（复述、命名等）、语言认知（注意、观察等）、语音康复四大板块，设计多个训练单元，实施精准化、阶梯式康复训练。</w:t>
      </w:r>
    </w:p>
    <w:p w14:paraId="007CB09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6、个性化训练与方案管理：基于评估结果，定制个性化训练方案，结合大数据分析动态调整。治疗师可通过平台灵活创建、管理患者专属康复方案，记录训练进度。</w:t>
      </w:r>
    </w:p>
    <w:p w14:paraId="3CCC29C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7、语义识别技术：口语表达模块嵌入语义识别功能，精准提取、识别关键信息。</w:t>
      </w:r>
    </w:p>
    <w:p w14:paraId="332375D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8、学老师开放平台：治疗师可自主设计训练内容，如添加图片、录入语音、输入文字等，打造无语言、文化、地域限制的个性化康复环境。</w:t>
      </w:r>
    </w:p>
    <w:p w14:paraId="4BBB545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9、数据统计与用户管理：系统统计用户基本信息、康复数据、评估结果、量表数据、方案进度等，形成统计简报。实时监控用户康复进程，提供可视化趋势分析。</w:t>
      </w:r>
    </w:p>
    <w:p w14:paraId="0417354C">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10、权限管理：构建管理员、医生、治疗师、患者四类用户角色，实现数据分层管理，确保系统使用的规范性和安全性。</w:t>
      </w: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7358FD6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w:t>
      </w:r>
    </w:p>
    <w:p w14:paraId="06F1A36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79D8B50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27F0CB0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年后支付10%余款给乙方。</w:t>
      </w:r>
    </w:p>
    <w:p w14:paraId="02D6206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年，终身维修。验收时出具原厂售后质保承诺书，质保期内每年巡检一次，并提交巡检记录。质保期内出现故障，1小时响应，响应后24小时上门服务。</w:t>
      </w:r>
    </w:p>
    <w:p w14:paraId="3F194F1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w:t>
      </w:r>
      <w:bookmarkStart w:id="4" w:name="_GoBack"/>
      <w:bookmarkEnd w:id="4"/>
      <w:r>
        <w:rPr>
          <w:rFonts w:hint="eastAsia" w:asciiTheme="minorEastAsia" w:hAnsiTheme="minorEastAsia" w:eastAsiaTheme="minorEastAsia" w:cstheme="minorEastAsia"/>
          <w:bCs/>
          <w:color w:val="auto"/>
          <w:kern w:val="0"/>
          <w:sz w:val="24"/>
          <w:szCs w:val="24"/>
          <w:lang w:val="en-US" w:eastAsia="zh-CN" w:bidi="ar-SA"/>
        </w:rPr>
        <w:t>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式两份，均需加盖公章），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4FD85729">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7D37284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62A62EF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6B2918F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004D64F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52DBED6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71047D5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221FB6D2">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12D9530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3EE90F7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2D94CFE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2376EC2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3E25257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886416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89F296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2D8256B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新型言语障碍评估及康复训练系统</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新型言语障碍评估及康复训练系统</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215E66D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2795E56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2"/>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23C23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761D0F5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02FF13C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417BB69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14E01BE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7F4CEAE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16A5117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7C6CE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3C3D8B6C">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新型言语障碍评估及康复训练系统</w:t>
            </w:r>
          </w:p>
        </w:tc>
        <w:tc>
          <w:tcPr>
            <w:tcW w:w="1220" w:type="dxa"/>
            <w:noWrap w:val="0"/>
            <w:vAlign w:val="center"/>
          </w:tcPr>
          <w:p w14:paraId="6B05945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041E80F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184C986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160DA0E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7B91E71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0E3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2ADC5EB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26751AC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163E0FB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74BD5FF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5396ABC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2BB755C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2EE41FB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7E25838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44866BA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14:paraId="004F96B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5FD42D0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150403A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0F01B52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580725E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5CA79C1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6928475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5A0FEDA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2E57A4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1D90F23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2E67A79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0E25A661">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7836078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E2B184">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6898B96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C82EF2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368F390E">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1414DB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54924E9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5E29F59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399E116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7D2EBDD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5DBEA51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2B467B6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26CF648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698B037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4B1592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3D5FE21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BEF8A0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5ED88DF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569F4D3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B4025E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67B3A7F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5AEF90F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37B6C26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6026171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39DC40C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4DB641F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076E9C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0C336E5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52322B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0ABC660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0EA8B1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6F67D58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706336B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1B3ADF1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7C2FA85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5FB1692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586C243A">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22861D7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3A0E5DF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EC6A34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3BABBB0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2B45549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3D0E2595">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3360A7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64AFB75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5D9CEC3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6E5AE5E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6082098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015DF9D7">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2C7C7DB0">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49EEEF70">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0DE43528">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3F89734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14:paraId="62EE5D29">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09EE1629">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3169ADB6">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1BFAB87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768B185C">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2AC3B34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45BD44F2">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6C209BF8">
      <w:pPr>
        <w:rPr>
          <w:rFonts w:hint="default" w:ascii="宋体" w:hAnsi="宋体" w:eastAsia="宋体" w:cs="宋体"/>
          <w:color w:val="auto"/>
          <w:sz w:val="24"/>
          <w:szCs w:val="24"/>
          <w:lang w:val="en-US" w:eastAsia="zh-CN"/>
        </w:rPr>
      </w:pPr>
    </w:p>
    <w:p w14:paraId="283224D2">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8"/>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7"/>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1139CCF8">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7"/>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2"/>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8"/>
        <w:rPr>
          <w:color w:val="auto"/>
        </w:rPr>
      </w:pPr>
    </w:p>
    <w:p w14:paraId="43E00E01">
      <w:pPr>
        <w:pStyle w:val="17"/>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8"/>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8"/>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8"/>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8"/>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8"/>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9"/>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3E43FAE"/>
    <w:rsid w:val="04653F41"/>
    <w:rsid w:val="04B72FC8"/>
    <w:rsid w:val="06934BAA"/>
    <w:rsid w:val="06E91EC4"/>
    <w:rsid w:val="086F75C9"/>
    <w:rsid w:val="0A3F4F3C"/>
    <w:rsid w:val="0D363129"/>
    <w:rsid w:val="0E331420"/>
    <w:rsid w:val="0EDD1643"/>
    <w:rsid w:val="0FB9029C"/>
    <w:rsid w:val="10897B23"/>
    <w:rsid w:val="10914EF9"/>
    <w:rsid w:val="10B8663C"/>
    <w:rsid w:val="12080B62"/>
    <w:rsid w:val="12994AC5"/>
    <w:rsid w:val="129F447F"/>
    <w:rsid w:val="12C86253"/>
    <w:rsid w:val="15060AC8"/>
    <w:rsid w:val="15675A4C"/>
    <w:rsid w:val="17F91BB8"/>
    <w:rsid w:val="196F4268"/>
    <w:rsid w:val="1AF56B46"/>
    <w:rsid w:val="1DD7486D"/>
    <w:rsid w:val="1E79119D"/>
    <w:rsid w:val="1F334F58"/>
    <w:rsid w:val="1F796B24"/>
    <w:rsid w:val="1FE73549"/>
    <w:rsid w:val="2038045E"/>
    <w:rsid w:val="20AF0900"/>
    <w:rsid w:val="20B41DA7"/>
    <w:rsid w:val="219B6A98"/>
    <w:rsid w:val="24BA3EA8"/>
    <w:rsid w:val="267B0D76"/>
    <w:rsid w:val="272B6E6C"/>
    <w:rsid w:val="27CF2BB7"/>
    <w:rsid w:val="28E81B29"/>
    <w:rsid w:val="28FD390A"/>
    <w:rsid w:val="29B45A41"/>
    <w:rsid w:val="2A174DA9"/>
    <w:rsid w:val="2AB010A8"/>
    <w:rsid w:val="2C0A2E19"/>
    <w:rsid w:val="2C7642D0"/>
    <w:rsid w:val="2DD77C64"/>
    <w:rsid w:val="2DDA1E78"/>
    <w:rsid w:val="2DE00B8C"/>
    <w:rsid w:val="2EAC037F"/>
    <w:rsid w:val="2EB67A5C"/>
    <w:rsid w:val="302741D2"/>
    <w:rsid w:val="308B184D"/>
    <w:rsid w:val="309C1E01"/>
    <w:rsid w:val="31F17CD1"/>
    <w:rsid w:val="33384C93"/>
    <w:rsid w:val="340F06E9"/>
    <w:rsid w:val="36E47928"/>
    <w:rsid w:val="36F71BFC"/>
    <w:rsid w:val="372F7378"/>
    <w:rsid w:val="37E0236A"/>
    <w:rsid w:val="397348CD"/>
    <w:rsid w:val="3A994AB7"/>
    <w:rsid w:val="3B3B544D"/>
    <w:rsid w:val="3B654F2B"/>
    <w:rsid w:val="3BB72BAE"/>
    <w:rsid w:val="3BFC7D2B"/>
    <w:rsid w:val="3C8A61A4"/>
    <w:rsid w:val="3D5E17FF"/>
    <w:rsid w:val="3E1F0DA4"/>
    <w:rsid w:val="3E584E51"/>
    <w:rsid w:val="3EBE1ADE"/>
    <w:rsid w:val="403B4B34"/>
    <w:rsid w:val="414D7889"/>
    <w:rsid w:val="41BB0BAE"/>
    <w:rsid w:val="429A4992"/>
    <w:rsid w:val="435B161D"/>
    <w:rsid w:val="43B25DAC"/>
    <w:rsid w:val="44771DFD"/>
    <w:rsid w:val="45D569C3"/>
    <w:rsid w:val="46835BCF"/>
    <w:rsid w:val="4AEE1A11"/>
    <w:rsid w:val="4B7F39F4"/>
    <w:rsid w:val="4BAE646F"/>
    <w:rsid w:val="4CAC1559"/>
    <w:rsid w:val="4D754257"/>
    <w:rsid w:val="4DCD6AB3"/>
    <w:rsid w:val="4F4124CE"/>
    <w:rsid w:val="50216DCD"/>
    <w:rsid w:val="50540C20"/>
    <w:rsid w:val="51AC28BD"/>
    <w:rsid w:val="52183ACC"/>
    <w:rsid w:val="581A7C72"/>
    <w:rsid w:val="583A4BD7"/>
    <w:rsid w:val="59C74B1F"/>
    <w:rsid w:val="59CA2210"/>
    <w:rsid w:val="611B6B1B"/>
    <w:rsid w:val="62C222C2"/>
    <w:rsid w:val="62C51F4D"/>
    <w:rsid w:val="632D7C40"/>
    <w:rsid w:val="64133D6A"/>
    <w:rsid w:val="678E4F5D"/>
    <w:rsid w:val="680E122C"/>
    <w:rsid w:val="69500C5B"/>
    <w:rsid w:val="6A4E1D63"/>
    <w:rsid w:val="6DE375E4"/>
    <w:rsid w:val="6E725B17"/>
    <w:rsid w:val="6E8E5287"/>
    <w:rsid w:val="6F5C590C"/>
    <w:rsid w:val="6FBE332C"/>
    <w:rsid w:val="70F97BA8"/>
    <w:rsid w:val="71554367"/>
    <w:rsid w:val="71584067"/>
    <w:rsid w:val="735201FF"/>
    <w:rsid w:val="737B50A4"/>
    <w:rsid w:val="73F40E72"/>
    <w:rsid w:val="74566F5C"/>
    <w:rsid w:val="750117A8"/>
    <w:rsid w:val="755B2270"/>
    <w:rsid w:val="75A94C7E"/>
    <w:rsid w:val="767B40A9"/>
    <w:rsid w:val="76920D75"/>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List 2"/>
    <w:basedOn w:val="1"/>
    <w:next w:val="6"/>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6">
    <w:name w:val="Plain Text"/>
    <w:basedOn w:val="1"/>
    <w:qFormat/>
    <w:uiPriority w:val="0"/>
    <w:rPr>
      <w:rFonts w:ascii="宋体" w:hAnsi="Calibri" w:eastAsia="宋体" w:cs="Times New Roman"/>
      <w:szCs w:val="20"/>
    </w:rPr>
  </w:style>
  <w:style w:type="paragraph" w:styleId="7">
    <w:name w:val="Date"/>
    <w:basedOn w:val="1"/>
    <w:next w:val="1"/>
    <w:qFormat/>
    <w:uiPriority w:val="0"/>
    <w:rPr>
      <w:szCs w:val="20"/>
    </w:rPr>
  </w:style>
  <w:style w:type="paragraph" w:styleId="8">
    <w:name w:val="footer"/>
    <w:basedOn w:val="1"/>
    <w:autoRedefine/>
    <w:qFormat/>
    <w:uiPriority w:val="0"/>
    <w:pPr>
      <w:tabs>
        <w:tab w:val="center" w:pos="4153"/>
        <w:tab w:val="right" w:pos="8306"/>
      </w:tabs>
      <w:snapToGrid w:val="0"/>
      <w:jc w:val="left"/>
    </w:pPr>
    <w:rPr>
      <w:kern w:val="0"/>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autoRedefine/>
    <w:qFormat/>
    <w:uiPriority w:val="0"/>
    <w:rPr>
      <w:sz w:val="24"/>
    </w:rPr>
  </w:style>
  <w:style w:type="paragraph" w:styleId="11">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4">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11"/>
    <w:autoRedefine/>
    <w:qFormat/>
    <w:uiPriority w:val="0"/>
    <w:pPr>
      <w:jc w:val="center"/>
    </w:pPr>
    <w:rPr>
      <w:rFonts w:ascii="Arial" w:hAnsi="Arial" w:eastAsia="宋体"/>
      <w:b/>
      <w:sz w:val="28"/>
      <w:szCs w:val="24"/>
    </w:rPr>
  </w:style>
  <w:style w:type="paragraph" w:customStyle="1" w:styleId="17">
    <w:name w:val="列出段落1"/>
    <w:basedOn w:val="1"/>
    <w:autoRedefine/>
    <w:qFormat/>
    <w:uiPriority w:val="99"/>
    <w:pPr>
      <w:ind w:firstLine="420" w:firstLineChars="200"/>
    </w:pPr>
  </w:style>
  <w:style w:type="paragraph" w:customStyle="1" w:styleId="18">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177</Words>
  <Characters>177</Characters>
  <Lines>0</Lines>
  <Paragraphs>0</Paragraphs>
  <TotalTime>0</TotalTime>
  <ScaleCrop>false</ScaleCrop>
  <LinksUpToDate>false</LinksUpToDate>
  <CharactersWithSpaces>178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2025-02-10T02:11:17Z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