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（健康动态心电图盒子医院公开挂网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健康动态心电图盒子</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健康动态心电图盒子</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健康动态心电图盒子</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2194E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(一)、硬件参数</w:t>
      </w:r>
    </w:p>
    <w:p w14:paraId="461554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1、标准12导联；</w:t>
      </w:r>
    </w:p>
    <w:p w14:paraId="0560DB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2、记录时长：连续记录≥24小时；</w:t>
      </w:r>
    </w:p>
    <w:p w14:paraId="30B329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3、具有独立起搏通道功能，采样率≥10000点；</w:t>
      </w:r>
    </w:p>
    <w:p w14:paraId="1CEAD6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4、低电压报警功能；</w:t>
      </w:r>
    </w:p>
    <w:p w14:paraId="534CEC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5、具有特殊事件按钮、导联切换按钮功能；</w:t>
      </w:r>
    </w:p>
    <w:p w14:paraId="6C40D5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6、数据接口：USB 2.0，存储方式为内嵌式芯片而非插拔的Flash卡，USB数据线直接连记录器回放数据，不需要读卡器，不需要用电脑格式化存储介质；</w:t>
      </w:r>
    </w:p>
    <w:p w14:paraId="2CD52B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(二)、软件参数</w:t>
      </w:r>
    </w:p>
    <w:p w14:paraId="0E90C6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1、分析软件可导入患者动态血压等其它检查数据，具有心率、血压、血氧、ST段、严重心律失常的融合分析功能，以判断异常事件的成因；</w:t>
      </w:r>
    </w:p>
    <w:p w14:paraId="499785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2、分析软件具有对室早、房早、严重心律失常、心率、血氧、血压、ST段，在同一界面内进行3小时、24小时同步趋势图比对分析；</w:t>
      </w:r>
    </w:p>
    <w:p w14:paraId="33A71C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分析软件比对分析时，对当前时间点的前后共1小时内，提供心率最大波动事件的时长、最大氧减事件的时长、最大收缩压/舒张压波动事件的次数、ST段最大抬高/压低的时间，及对应的室早、房早、严重心率失常情况等参数；</w:t>
      </w:r>
    </w:p>
    <w:p w14:paraId="7CB28F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4、具有指定时间段的指定导联的重分析功能，以及智能的快速自动添加心搏功能，解决多段长时间大干扰的病例分析耗时的问题。</w:t>
      </w:r>
    </w:p>
    <w:p w14:paraId="131B86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分析软件以模板为中心构建多种直方图、散点图、叠加图，多画面同时互动，快速找到异常心电图提高编辑效率；具有全程智能联想编辑功能。能够自动修正伪差心搏后房早及室早、自动移除房颤事件中房早、自动修改错误心律失常事件中其他心搏的属性。智能调整合理的最快及最慢心率位置。并具有伪差心搏自动排除功能键，加快医生的编辑速度。</w:t>
      </w:r>
    </w:p>
    <w:p w14:paraId="6F12B3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6、软件具有两个导联同时叠加及P波叠加放大倍数（最大8倍）叠加功能，同时结合散点图和直方图四个维度进行复杂心电图分析； </w:t>
      </w:r>
    </w:p>
    <w:p w14:paraId="7741E7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7、软件具有一键自动起搏器分类分析、房颤、房扑分析；</w:t>
      </w:r>
    </w:p>
    <w:p w14:paraId="5BC122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8、具有独立的起搏器自动分析工具，并以直方图加条图的方式显示，自动区分包括房性单腔、室性单腔、双腔、未分类等起搏钉类型，可手动标记感知过度、感知失败；</w:t>
      </w:r>
    </w:p>
    <w:p w14:paraId="7A846F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软件具有同屏显示24小时、任意时长散点图、以及对应的心电图条图、逐步定位具体心搏，列出具体房颤、房扑事件发生时间，时长等准确信息。具有任意时段（时长可自由选取）Poincare散点图及24小时Poincare散点图技术。同时支持RR.NN,NS，NV等各类指定心律失常的散点图反向编辑功能，实现心律失常散点图反向编辑；</w:t>
      </w:r>
    </w:p>
    <w:p w14:paraId="74112F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10、具有12导同步ST段动态扫描分析功能，能够根据即时心律的速率快慢智能调整ST段计算位置，减少ST计算的假阳性事件。生成的ST段事件统计有详尽的统计信息包括发生时间、事件时长、压低幅值等。</w:t>
      </w:r>
    </w:p>
    <w:p w14:paraId="20CC95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11、具有全心搏属性自定义间期直方图/间期比直方图，直方图种类多达512种，能够根据心律失常次起数描绘直方图，方便快速准确定位严重心律失常；</w:t>
      </w:r>
    </w:p>
    <w:p w14:paraId="6C2054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12、具有自动存图功能，软件自动识别最快心律、最慢心律、房早、室早、最长R-R间期等心电图片段并自动选取，并无需人工手动存图。支持即时打印功能； </w:t>
      </w:r>
    </w:p>
    <w:p w14:paraId="6403A8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13、报告具有可编辑的自动结论功能。能够依据心律失常各项分析结果，按照操作医生现有结论书写标准自动生成综述结论； </w:t>
      </w:r>
    </w:p>
    <w:p w14:paraId="3BCDA0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14、软件提供标准数据接口，以便与医院现有信息系统对接，满足医院的的信息化建设需要；</w:t>
      </w:r>
    </w:p>
    <w:p w14:paraId="480CC1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15、具有心率变异性(HRV)分析功能，包括频域、时域自动分析，可对全程、夜间及每小时的心搏进行HRV时域分析；</w:t>
      </w:r>
    </w:p>
    <w:p w14:paraId="52824E79">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16、连接医院HIS系统电子病历。</w:t>
      </w:r>
    </w:p>
    <w:p w14:paraId="0633F3E0">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w:t>
      </w:r>
      <w:bookmarkStart w:id="4" w:name="_GoBack"/>
      <w:bookmarkEnd w:id="4"/>
      <w:r>
        <w:rPr>
          <w:rFonts w:hint="eastAsia" w:asciiTheme="minorEastAsia" w:hAnsiTheme="minorEastAsia" w:eastAsiaTheme="minorEastAsia" w:cstheme="minorEastAsia"/>
          <w:b/>
          <w:bCs w:val="0"/>
          <w:color w:val="auto"/>
          <w:kern w:val="0"/>
          <w:sz w:val="24"/>
          <w:szCs w:val="24"/>
          <w:lang w:val="en-US" w:eastAsia="zh-CN" w:bidi="ar-SA"/>
        </w:rPr>
        <w:t>：</w:t>
      </w:r>
    </w:p>
    <w:tbl>
      <w:tblPr>
        <w:tblStyle w:val="12"/>
        <w:tblW w:w="4200" w:type="pct"/>
        <w:tblInd w:w="5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7"/>
        <w:gridCol w:w="1823"/>
        <w:gridCol w:w="1403"/>
        <w:gridCol w:w="1596"/>
      </w:tblGrid>
      <w:tr w14:paraId="03B1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5A3A3CA7">
            <w:pPr>
              <w:spacing w:line="360" w:lineRule="auto"/>
              <w:jc w:val="center"/>
              <w:rPr>
                <w:rFonts w:hint="eastAsia" w:ascii="幼圆" w:hAnsi="幼圆" w:eastAsia="幼圆" w:cs="幼圆"/>
                <w:b/>
                <w:sz w:val="24"/>
                <w:szCs w:val="24"/>
                <w:highlight w:val="none"/>
              </w:rPr>
            </w:pPr>
            <w:r>
              <w:rPr>
                <w:rFonts w:hint="eastAsia" w:ascii="幼圆" w:hAnsi="幼圆" w:eastAsia="幼圆" w:cs="幼圆"/>
                <w:b/>
                <w:sz w:val="24"/>
                <w:szCs w:val="24"/>
                <w:highlight w:val="none"/>
              </w:rPr>
              <w:t>名称</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4C7A48B">
            <w:pPr>
              <w:spacing w:line="360" w:lineRule="auto"/>
              <w:jc w:val="center"/>
              <w:rPr>
                <w:rFonts w:hint="eastAsia" w:ascii="幼圆" w:hAnsi="幼圆" w:eastAsia="幼圆" w:cs="幼圆"/>
                <w:b/>
                <w:sz w:val="24"/>
                <w:szCs w:val="24"/>
                <w:highlight w:val="none"/>
              </w:rPr>
            </w:pPr>
            <w:r>
              <w:rPr>
                <w:rFonts w:hint="eastAsia" w:ascii="幼圆" w:hAnsi="幼圆" w:eastAsia="幼圆" w:cs="幼圆"/>
                <w:b/>
                <w:sz w:val="24"/>
                <w:szCs w:val="24"/>
                <w:highlight w:val="none"/>
              </w:rPr>
              <w:t>单位</w:t>
            </w:r>
          </w:p>
        </w:tc>
        <w:tc>
          <w:tcPr>
            <w:tcW w:w="838" w:type="pct"/>
            <w:tcBorders>
              <w:top w:val="single" w:color="auto" w:sz="4" w:space="0"/>
              <w:left w:val="single" w:color="auto" w:sz="4" w:space="0"/>
              <w:bottom w:val="single" w:color="auto" w:sz="4" w:space="0"/>
              <w:right w:val="single" w:color="auto" w:sz="4" w:space="0"/>
            </w:tcBorders>
            <w:noWrap w:val="0"/>
            <w:vAlign w:val="top"/>
          </w:tcPr>
          <w:p w14:paraId="13DCD8E4">
            <w:pPr>
              <w:spacing w:line="360" w:lineRule="auto"/>
              <w:jc w:val="center"/>
              <w:rPr>
                <w:rFonts w:hint="eastAsia" w:ascii="幼圆" w:hAnsi="幼圆" w:eastAsia="幼圆" w:cs="幼圆"/>
                <w:b/>
                <w:sz w:val="24"/>
                <w:szCs w:val="24"/>
                <w:highlight w:val="none"/>
              </w:rPr>
            </w:pPr>
            <w:r>
              <w:rPr>
                <w:rFonts w:hint="eastAsia" w:ascii="幼圆" w:hAnsi="幼圆" w:eastAsia="幼圆" w:cs="幼圆"/>
                <w:b/>
                <w:sz w:val="24"/>
                <w:szCs w:val="24"/>
                <w:highlight w:val="none"/>
              </w:rPr>
              <w:t>数量</w:t>
            </w:r>
          </w:p>
        </w:tc>
        <w:tc>
          <w:tcPr>
            <w:tcW w:w="953" w:type="pct"/>
            <w:tcBorders>
              <w:top w:val="single" w:color="auto" w:sz="4" w:space="0"/>
              <w:left w:val="single" w:color="auto" w:sz="4" w:space="0"/>
              <w:bottom w:val="single" w:color="auto" w:sz="4" w:space="0"/>
              <w:right w:val="single" w:color="auto" w:sz="4" w:space="0"/>
            </w:tcBorders>
            <w:noWrap w:val="0"/>
            <w:vAlign w:val="top"/>
          </w:tcPr>
          <w:p w14:paraId="7131C35C">
            <w:pPr>
              <w:spacing w:line="360" w:lineRule="auto"/>
              <w:jc w:val="center"/>
              <w:rPr>
                <w:rFonts w:hint="eastAsia" w:ascii="幼圆" w:hAnsi="幼圆" w:eastAsia="幼圆" w:cs="幼圆"/>
                <w:b/>
                <w:sz w:val="24"/>
                <w:szCs w:val="24"/>
                <w:highlight w:val="none"/>
              </w:rPr>
            </w:pPr>
            <w:r>
              <w:rPr>
                <w:rFonts w:hint="eastAsia" w:ascii="幼圆" w:hAnsi="幼圆" w:eastAsia="幼圆" w:cs="幼圆"/>
                <w:b/>
                <w:sz w:val="24"/>
                <w:szCs w:val="24"/>
                <w:highlight w:val="none"/>
              </w:rPr>
              <w:t>备注</w:t>
            </w:r>
          </w:p>
        </w:tc>
      </w:tr>
      <w:tr w14:paraId="1ACD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6F3B0368">
            <w:pPr>
              <w:spacing w:line="360" w:lineRule="auto"/>
              <w:jc w:val="center"/>
              <w:rPr>
                <w:rFonts w:hint="default"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动态心电图分析系统</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F225D87">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套</w:t>
            </w:r>
          </w:p>
        </w:tc>
        <w:tc>
          <w:tcPr>
            <w:tcW w:w="838" w:type="pct"/>
            <w:tcBorders>
              <w:top w:val="single" w:color="auto" w:sz="4" w:space="0"/>
              <w:left w:val="single" w:color="auto" w:sz="4" w:space="0"/>
              <w:bottom w:val="single" w:color="auto" w:sz="4" w:space="0"/>
              <w:right w:val="single" w:color="auto" w:sz="4" w:space="0"/>
            </w:tcBorders>
            <w:noWrap w:val="0"/>
            <w:vAlign w:val="top"/>
          </w:tcPr>
          <w:p w14:paraId="1528A8B8">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237811F0">
            <w:pPr>
              <w:spacing w:line="360" w:lineRule="auto"/>
              <w:jc w:val="center"/>
              <w:rPr>
                <w:rFonts w:hint="eastAsia" w:ascii="幼圆" w:hAnsi="幼圆" w:eastAsia="幼圆" w:cs="幼圆"/>
                <w:kern w:val="2"/>
                <w:sz w:val="24"/>
                <w:szCs w:val="24"/>
                <w:highlight w:val="none"/>
                <w:lang w:val="en-US" w:eastAsia="zh-CN" w:bidi="ar-SA"/>
              </w:rPr>
            </w:pPr>
          </w:p>
        </w:tc>
      </w:tr>
      <w:tr w14:paraId="4816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4AE1C5DC">
            <w:pPr>
              <w:spacing w:line="360" w:lineRule="auto"/>
              <w:jc w:val="center"/>
              <w:rPr>
                <w:rFonts w:hint="eastAsia" w:ascii="幼圆" w:hAnsi="幼圆" w:eastAsia="幼圆" w:cs="幼圆"/>
                <w:sz w:val="24"/>
                <w:szCs w:val="24"/>
                <w:highlight w:val="none"/>
              </w:rPr>
            </w:pPr>
            <w:r>
              <w:rPr>
                <w:rFonts w:hint="eastAsia" w:ascii="幼圆" w:hAnsi="幼圆" w:eastAsia="幼圆" w:cs="幼圆"/>
                <w:sz w:val="24"/>
                <w:szCs w:val="24"/>
                <w:highlight w:val="none"/>
              </w:rPr>
              <w:t>动态心电图仪主机</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0DC2AEC6">
            <w:pPr>
              <w:spacing w:line="360" w:lineRule="auto"/>
              <w:jc w:val="center"/>
              <w:rPr>
                <w:rFonts w:hint="eastAsia" w:ascii="幼圆" w:hAnsi="幼圆" w:eastAsia="幼圆" w:cs="幼圆"/>
                <w:sz w:val="24"/>
                <w:szCs w:val="24"/>
                <w:highlight w:val="none"/>
              </w:rPr>
            </w:pPr>
            <w:r>
              <w:rPr>
                <w:rFonts w:hint="eastAsia" w:ascii="幼圆" w:hAnsi="幼圆" w:eastAsia="幼圆" w:cs="幼圆"/>
                <w:sz w:val="24"/>
                <w:szCs w:val="24"/>
                <w:highlight w:val="none"/>
              </w:rPr>
              <w:t>台</w:t>
            </w:r>
          </w:p>
        </w:tc>
        <w:tc>
          <w:tcPr>
            <w:tcW w:w="838" w:type="pct"/>
            <w:tcBorders>
              <w:top w:val="single" w:color="auto" w:sz="4" w:space="0"/>
              <w:left w:val="single" w:color="auto" w:sz="4" w:space="0"/>
              <w:bottom w:val="single" w:color="auto" w:sz="4" w:space="0"/>
              <w:right w:val="single" w:color="auto" w:sz="4" w:space="0"/>
            </w:tcBorders>
            <w:noWrap w:val="0"/>
            <w:vAlign w:val="top"/>
          </w:tcPr>
          <w:p w14:paraId="72E76298">
            <w:pPr>
              <w:spacing w:line="360" w:lineRule="auto"/>
              <w:jc w:val="center"/>
              <w:rPr>
                <w:rFonts w:hint="eastAsia" w:ascii="幼圆" w:hAnsi="幼圆" w:eastAsia="幼圆" w:cs="幼圆"/>
                <w:sz w:val="24"/>
                <w:szCs w:val="24"/>
                <w:highlight w:val="none"/>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0172D41B">
            <w:pPr>
              <w:spacing w:line="360" w:lineRule="auto"/>
              <w:jc w:val="center"/>
              <w:rPr>
                <w:rFonts w:hint="eastAsia" w:ascii="幼圆" w:hAnsi="幼圆" w:eastAsia="幼圆" w:cs="幼圆"/>
                <w:sz w:val="24"/>
                <w:szCs w:val="24"/>
                <w:highlight w:val="none"/>
              </w:rPr>
            </w:pPr>
          </w:p>
        </w:tc>
      </w:tr>
      <w:tr w14:paraId="3C77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55DCA7B5">
            <w:pPr>
              <w:spacing w:line="360" w:lineRule="auto"/>
              <w:jc w:val="center"/>
              <w:rPr>
                <w:rFonts w:hint="eastAsia" w:ascii="幼圆" w:hAnsi="幼圆" w:eastAsia="幼圆" w:cs="幼圆"/>
                <w:sz w:val="24"/>
                <w:szCs w:val="24"/>
                <w:highlight w:val="none"/>
              </w:rPr>
            </w:pPr>
            <w:r>
              <w:rPr>
                <w:rFonts w:hint="eastAsia" w:ascii="幼圆" w:hAnsi="幼圆" w:eastAsia="幼圆" w:cs="幼圆"/>
                <w:sz w:val="24"/>
                <w:szCs w:val="24"/>
                <w:highlight w:val="none"/>
              </w:rPr>
              <w:t>心电电极片</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8B5480C">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包</w:t>
            </w:r>
          </w:p>
        </w:tc>
        <w:tc>
          <w:tcPr>
            <w:tcW w:w="838" w:type="pct"/>
            <w:tcBorders>
              <w:top w:val="single" w:color="auto" w:sz="4" w:space="0"/>
              <w:left w:val="single" w:color="auto" w:sz="4" w:space="0"/>
              <w:bottom w:val="single" w:color="auto" w:sz="4" w:space="0"/>
              <w:right w:val="single" w:color="auto" w:sz="4" w:space="0"/>
            </w:tcBorders>
            <w:noWrap w:val="0"/>
            <w:vAlign w:val="top"/>
          </w:tcPr>
          <w:p w14:paraId="4CD5C585">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6D758D29">
            <w:pPr>
              <w:spacing w:line="360" w:lineRule="auto"/>
              <w:jc w:val="center"/>
              <w:rPr>
                <w:rFonts w:hint="eastAsia" w:ascii="幼圆" w:hAnsi="幼圆" w:eastAsia="幼圆" w:cs="幼圆"/>
                <w:sz w:val="24"/>
                <w:szCs w:val="24"/>
                <w:highlight w:val="none"/>
              </w:rPr>
            </w:pPr>
          </w:p>
        </w:tc>
      </w:tr>
      <w:tr w14:paraId="1924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4198A63B">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心电导联线</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B3D0754">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副</w:t>
            </w:r>
          </w:p>
        </w:tc>
        <w:tc>
          <w:tcPr>
            <w:tcW w:w="838" w:type="pct"/>
            <w:tcBorders>
              <w:top w:val="single" w:color="auto" w:sz="4" w:space="0"/>
              <w:left w:val="single" w:color="auto" w:sz="4" w:space="0"/>
              <w:bottom w:val="single" w:color="auto" w:sz="4" w:space="0"/>
              <w:right w:val="single" w:color="auto" w:sz="4" w:space="0"/>
            </w:tcBorders>
            <w:noWrap w:val="0"/>
            <w:vAlign w:val="top"/>
          </w:tcPr>
          <w:p w14:paraId="68921C2A">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7FFA3C2C">
            <w:pPr>
              <w:spacing w:line="360" w:lineRule="auto"/>
              <w:jc w:val="center"/>
              <w:rPr>
                <w:rFonts w:hint="eastAsia" w:ascii="幼圆" w:hAnsi="幼圆" w:eastAsia="幼圆" w:cs="幼圆"/>
                <w:sz w:val="24"/>
                <w:szCs w:val="24"/>
                <w:highlight w:val="none"/>
              </w:rPr>
            </w:pPr>
          </w:p>
        </w:tc>
      </w:tr>
      <w:tr w14:paraId="67C8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207F8835">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USB数据线</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40906F3">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根</w:t>
            </w:r>
          </w:p>
        </w:tc>
        <w:tc>
          <w:tcPr>
            <w:tcW w:w="838" w:type="pct"/>
            <w:tcBorders>
              <w:top w:val="single" w:color="auto" w:sz="4" w:space="0"/>
              <w:left w:val="single" w:color="auto" w:sz="4" w:space="0"/>
              <w:bottom w:val="single" w:color="auto" w:sz="4" w:space="0"/>
              <w:right w:val="single" w:color="auto" w:sz="4" w:space="0"/>
            </w:tcBorders>
            <w:noWrap w:val="0"/>
            <w:vAlign w:val="top"/>
          </w:tcPr>
          <w:p w14:paraId="2D13716B">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7AF2DDB6">
            <w:pPr>
              <w:spacing w:line="360" w:lineRule="auto"/>
              <w:jc w:val="center"/>
              <w:rPr>
                <w:rFonts w:hint="eastAsia" w:ascii="幼圆" w:hAnsi="幼圆" w:eastAsia="幼圆" w:cs="幼圆"/>
                <w:sz w:val="24"/>
                <w:szCs w:val="24"/>
                <w:highlight w:val="none"/>
              </w:rPr>
            </w:pPr>
          </w:p>
        </w:tc>
      </w:tr>
      <w:tr w14:paraId="3B9B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361F716F">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lang w:val="en-US" w:eastAsia="zh-CN"/>
              </w:rPr>
              <w:t>PC软件光盘</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0005FD5A">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lang w:val="en-US" w:eastAsia="zh-CN"/>
              </w:rPr>
              <w:t>张</w:t>
            </w:r>
          </w:p>
        </w:tc>
        <w:tc>
          <w:tcPr>
            <w:tcW w:w="838" w:type="pct"/>
            <w:tcBorders>
              <w:top w:val="single" w:color="auto" w:sz="4" w:space="0"/>
              <w:left w:val="single" w:color="auto" w:sz="4" w:space="0"/>
              <w:bottom w:val="single" w:color="auto" w:sz="4" w:space="0"/>
              <w:right w:val="single" w:color="auto" w:sz="4" w:space="0"/>
            </w:tcBorders>
            <w:noWrap w:val="0"/>
            <w:vAlign w:val="top"/>
          </w:tcPr>
          <w:p w14:paraId="38C9A02A">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lang w:val="en-US" w:eastAsia="zh-CN"/>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0F2F579A">
            <w:pPr>
              <w:spacing w:line="360" w:lineRule="auto"/>
              <w:jc w:val="center"/>
              <w:rPr>
                <w:rFonts w:hint="eastAsia" w:ascii="幼圆" w:hAnsi="幼圆" w:eastAsia="幼圆" w:cs="幼圆"/>
                <w:sz w:val="24"/>
                <w:szCs w:val="24"/>
                <w:highlight w:val="none"/>
              </w:rPr>
            </w:pPr>
          </w:p>
        </w:tc>
      </w:tr>
      <w:tr w14:paraId="6F7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57A9C01A">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挂包</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5DE3616">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lang w:val="en-US" w:eastAsia="zh-CN"/>
              </w:rPr>
              <w:t>个</w:t>
            </w:r>
          </w:p>
        </w:tc>
        <w:tc>
          <w:tcPr>
            <w:tcW w:w="838" w:type="pct"/>
            <w:tcBorders>
              <w:top w:val="single" w:color="auto" w:sz="4" w:space="0"/>
              <w:left w:val="single" w:color="auto" w:sz="4" w:space="0"/>
              <w:bottom w:val="single" w:color="auto" w:sz="4" w:space="0"/>
              <w:right w:val="single" w:color="auto" w:sz="4" w:space="0"/>
            </w:tcBorders>
            <w:noWrap w:val="0"/>
            <w:vAlign w:val="top"/>
          </w:tcPr>
          <w:p w14:paraId="35D2B9C0">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3880004C">
            <w:pPr>
              <w:spacing w:line="360" w:lineRule="auto"/>
              <w:jc w:val="center"/>
              <w:rPr>
                <w:rFonts w:hint="eastAsia" w:ascii="幼圆" w:hAnsi="幼圆" w:eastAsia="幼圆" w:cs="幼圆"/>
                <w:sz w:val="24"/>
                <w:szCs w:val="24"/>
                <w:highlight w:val="none"/>
              </w:rPr>
            </w:pPr>
          </w:p>
        </w:tc>
      </w:tr>
      <w:tr w14:paraId="5D3E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6CFF657E">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说明书</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6317025F">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本</w:t>
            </w:r>
          </w:p>
        </w:tc>
        <w:tc>
          <w:tcPr>
            <w:tcW w:w="838" w:type="pct"/>
            <w:tcBorders>
              <w:top w:val="single" w:color="auto" w:sz="4" w:space="0"/>
              <w:left w:val="single" w:color="auto" w:sz="4" w:space="0"/>
              <w:bottom w:val="single" w:color="auto" w:sz="4" w:space="0"/>
              <w:right w:val="single" w:color="auto" w:sz="4" w:space="0"/>
            </w:tcBorders>
            <w:noWrap w:val="0"/>
            <w:vAlign w:val="top"/>
          </w:tcPr>
          <w:p w14:paraId="3BEFEE25">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4BB1491A">
            <w:pPr>
              <w:spacing w:line="360" w:lineRule="auto"/>
              <w:jc w:val="center"/>
              <w:rPr>
                <w:rFonts w:hint="eastAsia" w:ascii="幼圆" w:hAnsi="幼圆" w:eastAsia="幼圆" w:cs="幼圆"/>
                <w:sz w:val="24"/>
                <w:szCs w:val="24"/>
                <w:highlight w:val="none"/>
              </w:rPr>
            </w:pPr>
          </w:p>
        </w:tc>
      </w:tr>
      <w:tr w14:paraId="016D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4E2F304A">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合格证/保修卡</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287C1FC2">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张</w:t>
            </w:r>
          </w:p>
        </w:tc>
        <w:tc>
          <w:tcPr>
            <w:tcW w:w="838" w:type="pct"/>
            <w:tcBorders>
              <w:top w:val="single" w:color="auto" w:sz="4" w:space="0"/>
              <w:left w:val="single" w:color="auto" w:sz="4" w:space="0"/>
              <w:bottom w:val="single" w:color="auto" w:sz="4" w:space="0"/>
              <w:right w:val="single" w:color="auto" w:sz="4" w:space="0"/>
            </w:tcBorders>
            <w:noWrap w:val="0"/>
            <w:vAlign w:val="top"/>
          </w:tcPr>
          <w:p w14:paraId="2157D8F4">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40302B52">
            <w:pPr>
              <w:spacing w:line="360" w:lineRule="auto"/>
              <w:jc w:val="center"/>
              <w:rPr>
                <w:rFonts w:hint="eastAsia" w:ascii="幼圆" w:hAnsi="幼圆" w:eastAsia="幼圆" w:cs="幼圆"/>
                <w:sz w:val="24"/>
                <w:szCs w:val="24"/>
                <w:highlight w:val="none"/>
              </w:rPr>
            </w:pPr>
          </w:p>
        </w:tc>
      </w:tr>
      <w:tr w14:paraId="2C2F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4368CFE2">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装箱单</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43DA1BCD">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张</w:t>
            </w:r>
          </w:p>
        </w:tc>
        <w:tc>
          <w:tcPr>
            <w:tcW w:w="838" w:type="pct"/>
            <w:tcBorders>
              <w:top w:val="single" w:color="auto" w:sz="4" w:space="0"/>
              <w:left w:val="single" w:color="auto" w:sz="4" w:space="0"/>
              <w:bottom w:val="single" w:color="auto" w:sz="4" w:space="0"/>
              <w:right w:val="single" w:color="auto" w:sz="4" w:space="0"/>
            </w:tcBorders>
            <w:noWrap w:val="0"/>
            <w:vAlign w:val="top"/>
          </w:tcPr>
          <w:p w14:paraId="5AD77150">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75DAFA70">
            <w:pPr>
              <w:spacing w:line="360" w:lineRule="auto"/>
              <w:jc w:val="center"/>
              <w:rPr>
                <w:rFonts w:hint="eastAsia" w:ascii="幼圆" w:hAnsi="幼圆" w:eastAsia="幼圆" w:cs="幼圆"/>
                <w:sz w:val="24"/>
                <w:szCs w:val="24"/>
                <w:highlight w:val="none"/>
              </w:rPr>
            </w:pPr>
          </w:p>
        </w:tc>
      </w:tr>
      <w:tr w14:paraId="226B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19" w:type="pct"/>
            <w:tcBorders>
              <w:top w:val="single" w:color="auto" w:sz="4" w:space="0"/>
              <w:left w:val="single" w:color="auto" w:sz="4" w:space="0"/>
              <w:bottom w:val="single" w:color="auto" w:sz="4" w:space="0"/>
              <w:right w:val="single" w:color="auto" w:sz="4" w:space="0"/>
            </w:tcBorders>
            <w:noWrap w:val="0"/>
            <w:vAlign w:val="top"/>
          </w:tcPr>
          <w:p w14:paraId="7A5B59F2">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kern w:val="2"/>
                <w:sz w:val="24"/>
                <w:szCs w:val="24"/>
                <w:highlight w:val="none"/>
                <w:lang w:val="en-US" w:eastAsia="zh-CN" w:bidi="ar-SA"/>
              </w:rPr>
              <w:t>验收单</w:t>
            </w:r>
          </w:p>
        </w:tc>
        <w:tc>
          <w:tcPr>
            <w:tcW w:w="1089" w:type="pct"/>
            <w:tcBorders>
              <w:top w:val="single" w:color="auto" w:sz="4" w:space="0"/>
              <w:left w:val="single" w:color="auto" w:sz="4" w:space="0"/>
              <w:bottom w:val="single" w:color="auto" w:sz="4" w:space="0"/>
              <w:right w:val="single" w:color="auto" w:sz="4" w:space="0"/>
            </w:tcBorders>
            <w:noWrap w:val="0"/>
            <w:vAlign w:val="top"/>
          </w:tcPr>
          <w:p w14:paraId="0DFF80D7">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张</w:t>
            </w:r>
          </w:p>
        </w:tc>
        <w:tc>
          <w:tcPr>
            <w:tcW w:w="838" w:type="pct"/>
            <w:tcBorders>
              <w:top w:val="single" w:color="auto" w:sz="4" w:space="0"/>
              <w:left w:val="single" w:color="auto" w:sz="4" w:space="0"/>
              <w:bottom w:val="single" w:color="auto" w:sz="4" w:space="0"/>
              <w:right w:val="single" w:color="auto" w:sz="4" w:space="0"/>
            </w:tcBorders>
            <w:noWrap w:val="0"/>
            <w:vAlign w:val="top"/>
          </w:tcPr>
          <w:p w14:paraId="38C6FBA7">
            <w:pPr>
              <w:spacing w:line="360" w:lineRule="auto"/>
              <w:jc w:val="center"/>
              <w:rPr>
                <w:rFonts w:hint="eastAsia" w:ascii="幼圆" w:hAnsi="幼圆" w:eastAsia="幼圆" w:cs="幼圆"/>
                <w:kern w:val="2"/>
                <w:sz w:val="24"/>
                <w:szCs w:val="24"/>
                <w:highlight w:val="none"/>
                <w:lang w:val="en-US" w:eastAsia="zh-CN" w:bidi="ar-SA"/>
              </w:rPr>
            </w:pPr>
            <w:r>
              <w:rPr>
                <w:rFonts w:hint="eastAsia" w:ascii="幼圆" w:hAnsi="幼圆" w:eastAsia="幼圆" w:cs="幼圆"/>
                <w:sz w:val="24"/>
                <w:szCs w:val="24"/>
                <w:highlight w:val="none"/>
              </w:rPr>
              <w:t>1</w:t>
            </w:r>
          </w:p>
        </w:tc>
        <w:tc>
          <w:tcPr>
            <w:tcW w:w="953" w:type="pct"/>
            <w:tcBorders>
              <w:top w:val="single" w:color="auto" w:sz="4" w:space="0"/>
              <w:left w:val="single" w:color="auto" w:sz="4" w:space="0"/>
              <w:bottom w:val="single" w:color="auto" w:sz="4" w:space="0"/>
              <w:right w:val="single" w:color="auto" w:sz="4" w:space="0"/>
            </w:tcBorders>
            <w:noWrap w:val="0"/>
            <w:vAlign w:val="top"/>
          </w:tcPr>
          <w:p w14:paraId="58028436">
            <w:pPr>
              <w:spacing w:line="360" w:lineRule="auto"/>
              <w:jc w:val="center"/>
              <w:rPr>
                <w:rFonts w:hint="eastAsia" w:ascii="幼圆" w:hAnsi="幼圆" w:eastAsia="幼圆" w:cs="幼圆"/>
                <w:sz w:val="24"/>
                <w:szCs w:val="24"/>
                <w:highlight w:val="none"/>
              </w:rPr>
            </w:pPr>
          </w:p>
        </w:tc>
      </w:tr>
    </w:tbl>
    <w:p w14:paraId="03B869B8">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7BFC0FD">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运输、装卸、培训、安装调试：由中标人负责承担，最终通过使用科室、设备科及相关部门确认验收交</w:t>
      </w:r>
      <w:r>
        <w:rPr>
          <w:rFonts w:hint="eastAsia" w:ascii="宋体" w:hAnsi="宋体" w:eastAsia="宋体" w:cs="宋体"/>
          <w:color w:val="auto"/>
          <w:sz w:val="24"/>
          <w:szCs w:val="24"/>
          <w:highlight w:val="none"/>
        </w:rPr>
        <w:t>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p>
    <w:p w14:paraId="0521042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172A7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2437AA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7、设备如涉及网络接口费用，由中标人承担，采购人不再出具任何费用。</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66F7A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A851F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F6B4D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A7455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0E2A0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B3DCF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871B21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F4D3F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2AC66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F6B1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7725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CA405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3EA89E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B6293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9CE092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健康动态心电图盒子</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健康动态心电图盒子</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6E680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F01A9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1068"/>
        <w:gridCol w:w="1378"/>
        <w:gridCol w:w="1320"/>
        <w:gridCol w:w="940"/>
        <w:gridCol w:w="1654"/>
      </w:tblGrid>
      <w:tr w14:paraId="57FE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051" w:type="dxa"/>
            <w:vAlign w:val="top"/>
          </w:tcPr>
          <w:p w14:paraId="546956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68" w:type="dxa"/>
            <w:vAlign w:val="top"/>
          </w:tcPr>
          <w:p w14:paraId="46B58C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378" w:type="dxa"/>
            <w:vAlign w:val="top"/>
          </w:tcPr>
          <w:p w14:paraId="3F8AF0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1494DC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05A20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5638B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E34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51" w:type="dxa"/>
            <w:vAlign w:val="center"/>
          </w:tcPr>
          <w:p w14:paraId="1148A2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健康动态心电图盒子</w:t>
            </w:r>
          </w:p>
        </w:tc>
        <w:tc>
          <w:tcPr>
            <w:tcW w:w="1068" w:type="dxa"/>
            <w:vAlign w:val="center"/>
          </w:tcPr>
          <w:p w14:paraId="3B2EE1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78" w:type="dxa"/>
            <w:vAlign w:val="center"/>
          </w:tcPr>
          <w:p w14:paraId="1D6C0D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4421889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4C0B7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5</w:t>
            </w:r>
          </w:p>
        </w:tc>
        <w:tc>
          <w:tcPr>
            <w:tcW w:w="1654" w:type="dxa"/>
            <w:vAlign w:val="center"/>
          </w:tcPr>
          <w:p w14:paraId="4DB6F9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B6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21A757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70AF4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F7168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560C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7DB7E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2C0D9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90EC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95F73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9BB8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0F1E9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11566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8CD02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7FB64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B4282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FC5F6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DDBD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4B1E4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0EA43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76DE8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DAAAAF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81FE3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18FC6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A537D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F5F8E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8AE10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940A4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84B4D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AB2FB2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7F7D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B577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3B735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1755D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83DA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0F388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31281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0CED7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BFF763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8B193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DDDE0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A3350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7171A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51DD5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6630E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4283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19CA0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FC0E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A9BF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9D92E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7C032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28E57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36BBF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DAA53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24020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D0837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27F8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29577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FFA05C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6109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C96A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6645E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5EFBC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5404E7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85937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10668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5E1E0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FFA0F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5F433C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E58A4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CC32C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7BAF8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02DA1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1035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42333AC"/>
    <w:multiLevelType w:val="singleLevel"/>
    <w:tmpl w:val="E42333A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92D1ED0"/>
    <w:rsid w:val="0A3F4F3C"/>
    <w:rsid w:val="0CDD5F03"/>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092E35"/>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58339B"/>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233306"/>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49C4CC6"/>
    <w:rsid w:val="45D569C3"/>
    <w:rsid w:val="46835BCF"/>
    <w:rsid w:val="4AEE1A11"/>
    <w:rsid w:val="4B7F39F4"/>
    <w:rsid w:val="4BAE646F"/>
    <w:rsid w:val="4CAC1559"/>
    <w:rsid w:val="4D754257"/>
    <w:rsid w:val="4DCD6AB3"/>
    <w:rsid w:val="4F4124CE"/>
    <w:rsid w:val="4FBD7F49"/>
    <w:rsid w:val="50216DCD"/>
    <w:rsid w:val="50540C20"/>
    <w:rsid w:val="50A456EE"/>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9058</Words>
  <Characters>9453</Characters>
  <Lines>0</Lines>
  <Paragraphs>0</Paragraphs>
  <TotalTime>0</TotalTime>
  <ScaleCrop>false</ScaleCrop>
  <LinksUpToDate>false</LinksUpToDate>
  <CharactersWithSpaces>10303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2025-04-01T00:47:45Z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