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（细胞分选仪医院公开挂网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细胞分选仪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细胞分选仪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4"/>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细胞分选仪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0.5</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13DF642">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5C90CC0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1．设备概述：</w:t>
      </w:r>
    </w:p>
    <w:p w14:paraId="60C64A3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细胞分选仪是一款体外诊断仪器，其主要原理是基于膜过滤的方式富集异常细胞，再通过改良的Romanowsky染色法进一步区分异常细胞和残余的血细胞，从而达到计数异常细胞的目的，主要应用于医学实验室、病理科等部门检测外周血中的异常细胞。此设备适用于胃癌、食管癌、肾癌、胰腺癌以及肺癌、肝癌，结直肠癌等肿瘤病人或肿瘤高危人群外周血的异常细胞检测。</w:t>
      </w:r>
    </w:p>
    <w:p w14:paraId="06DED0E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2．正常工作条件：</w:t>
      </w:r>
    </w:p>
    <w:p w14:paraId="7885ED4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2.1宽幅电压：90～264VAC，47～63Hz：</w:t>
      </w:r>
    </w:p>
    <w:p w14:paraId="61ED3CF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2.2额定电流：2A</w:t>
      </w:r>
    </w:p>
    <w:p w14:paraId="7508DC2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2.3环境温度：15℃～35℃：</w:t>
      </w:r>
    </w:p>
    <w:p w14:paraId="6EB1BCC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2.4相对湿度：10％～80％；</w:t>
      </w:r>
    </w:p>
    <w:p w14:paraId="56C823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2.5环境尽可能无尘、无机械振动、无大噪音源和电源干扰：</w:t>
      </w:r>
    </w:p>
    <w:p w14:paraId="61D791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2.6切勿将仪器靠近强电磁干扰源，以免影响仪器正常运行：</w:t>
      </w:r>
    </w:p>
    <w:p w14:paraId="4AB14E3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2.7避免阳光直射或置于热源及风源前：</w:t>
      </w:r>
    </w:p>
    <w:p w14:paraId="71C2E7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2.8保持良好的通风环境；</w:t>
      </w:r>
    </w:p>
    <w:p w14:paraId="26864F9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3．安全标准：</w:t>
      </w:r>
    </w:p>
    <w:p w14:paraId="399DCC0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设备安全标准符合GB4793.1-2007及YY0648-2008</w:t>
      </w:r>
    </w:p>
    <w:p w14:paraId="064F771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4．技术性能：</w:t>
      </w:r>
    </w:p>
    <w:p w14:paraId="20430E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4.1技术原理：基于肿瘤细胞的物理特性，使用高分子材料滤膜，实现将CTC 与正常细胞分离并富集的目的，不依赖特定的抗原，避免了不同表面抗原表达差异的循环肿瘤细胞的漏检；</w:t>
      </w:r>
    </w:p>
    <w:p w14:paraId="3453CF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4.2检测样本：外周血；</w:t>
      </w:r>
    </w:p>
    <w:p w14:paraId="720A51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4.3样本量：5mL；</w:t>
      </w:r>
    </w:p>
    <w:p w14:paraId="5167A6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4.4样本处理：5mL全血稀释至15mL，固定后上机操作；</w:t>
      </w:r>
    </w:p>
    <w:p w14:paraId="26BFC7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4.5无需裂红及离心处理；</w:t>
      </w:r>
    </w:p>
    <w:p w14:paraId="3692E51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4.6 CTM 检测：操作步骤少，最大程度还原细胞在血中的形态，CTM 捕获能力强，可鉴定含中性粒细胞的CTM；</w:t>
      </w:r>
    </w:p>
    <w:p w14:paraId="60BC32C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4.7一次性细胞过滤器的设计，完全避免携带交叉污染；</w:t>
      </w:r>
    </w:p>
    <w:p w14:paraId="368D1B3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4.8工作模式：可任意选择手动，自动两种模式，方便用户操作；</w:t>
      </w:r>
    </w:p>
    <w:p w14:paraId="08204C9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18F321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4.9处理速度：样本处理时间快，单个样本处理时间在12分钟左右；</w:t>
      </w:r>
    </w:p>
    <w:p w14:paraId="13DEBC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4.10试剂储存：试剂盒常温运输，保存，无须低温冷藏，冷链管理；</w:t>
      </w:r>
    </w:p>
    <w:p w14:paraId="0FE55F4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4.11异常细胞截留率≥85％，CV值≤10％；</w:t>
      </w:r>
    </w:p>
    <w:p w14:paraId="308FB1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4.12白细胞去除率≥99.99％；</w:t>
      </w:r>
    </w:p>
    <w:p w14:paraId="777EB31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4.13染色效果：细胞核呈紫红色，核质结构清晰，便于细胞分辨；</w:t>
      </w:r>
    </w:p>
    <w:p w14:paraId="1F1688A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4.14下游拓展：可对接免疫荧光（IF）、免疫组化（IHC）、荧光原位杂交（FISH）、显微切割和单细胞测序等检测技术。</w:t>
      </w:r>
    </w:p>
    <w:p w14:paraId="2781A2DF">
      <w:pPr>
        <w:spacing w:line="360" w:lineRule="auto"/>
        <w:ind w:firstLine="482" w:firstLineChars="200"/>
        <w:rPr>
          <w:rFonts w:hint="eastAsia" w:asciiTheme="minorEastAsia" w:hAnsiTheme="minorEastAsia" w:cstheme="minorEastAsia"/>
          <w:b/>
          <w:bCs/>
          <w:color w:val="000000"/>
          <w:sz w:val="24"/>
          <w:szCs w:val="24"/>
          <w:lang w:val="en-US" w:eastAsia="zh-CN"/>
        </w:rPr>
      </w:pPr>
      <w:r>
        <w:rPr>
          <w:rFonts w:hint="eastAsia" w:asciiTheme="minorEastAsia" w:hAnsiTheme="minorEastAsia" w:cstheme="minorEastAsia"/>
          <w:b/>
          <w:bCs/>
          <w:color w:val="000000"/>
          <w:sz w:val="24"/>
          <w:szCs w:val="24"/>
          <w:lang w:val="en-US" w:eastAsia="zh-CN"/>
        </w:rPr>
        <w:t>配套耗材:</w:t>
      </w:r>
    </w:p>
    <w:p w14:paraId="381D13F1">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限价见下表，耗材最终结算价由评审委员会现场议定：</w:t>
      </w:r>
    </w:p>
    <w:tbl>
      <w:tblPr>
        <w:tblStyle w:val="9"/>
        <w:tblW w:w="763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78"/>
        <w:gridCol w:w="3180"/>
        <w:gridCol w:w="2280"/>
      </w:tblGrid>
      <w:tr w14:paraId="490F7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14:paraId="519B1B96">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产品名称</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14:paraId="7343F227">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单价规格</w:t>
            </w:r>
          </w:p>
        </w:tc>
        <w:tc>
          <w:tcPr>
            <w:tcW w:w="22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F75BE0">
            <w:pPr>
              <w:spacing w:line="360" w:lineRule="auto"/>
              <w:jc w:val="center"/>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最高限价</w:t>
            </w:r>
          </w:p>
        </w:tc>
      </w:tr>
      <w:tr w14:paraId="14CFD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14:paraId="206C2C6F">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细胞过滤器</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14:paraId="766BEC17">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1支</w:t>
            </w:r>
          </w:p>
        </w:tc>
        <w:tc>
          <w:tcPr>
            <w:tcW w:w="2280" w:type="dxa"/>
            <w:vMerge w:val="restart"/>
            <w:tcBorders>
              <w:top w:val="single" w:color="auto" w:sz="4" w:space="0"/>
              <w:left w:val="single" w:color="auto" w:sz="4" w:space="0"/>
              <w:right w:val="single" w:color="auto" w:sz="4" w:space="0"/>
            </w:tcBorders>
            <w:shd w:val="clear" w:color="auto" w:fill="FFFFFF" w:themeFill="background1"/>
            <w:vAlign w:val="center"/>
          </w:tcPr>
          <w:p w14:paraId="2FC77796">
            <w:pPr>
              <w:spacing w:line="360" w:lineRule="auto"/>
              <w:jc w:val="center"/>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925元/套</w:t>
            </w:r>
          </w:p>
        </w:tc>
      </w:tr>
      <w:tr w14:paraId="1E848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14:paraId="2AD1B4B3">
            <w:pPr>
              <w:spacing w:line="360" w:lineRule="auto"/>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血细胞分用染色液</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14:paraId="1A96827E">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1人份</w:t>
            </w:r>
          </w:p>
        </w:tc>
        <w:tc>
          <w:tcPr>
            <w:tcW w:w="2280" w:type="dxa"/>
            <w:vMerge w:val="continue"/>
            <w:tcBorders>
              <w:left w:val="single" w:color="auto" w:sz="4" w:space="0"/>
              <w:bottom w:val="single" w:color="auto" w:sz="4" w:space="0"/>
              <w:right w:val="single" w:color="auto" w:sz="4" w:space="0"/>
            </w:tcBorders>
            <w:shd w:val="clear" w:color="auto" w:fill="FFFFFF" w:themeFill="background1"/>
            <w:vAlign w:val="center"/>
          </w:tcPr>
          <w:p w14:paraId="2610BFE5">
            <w:pPr>
              <w:spacing w:line="360" w:lineRule="auto"/>
              <w:ind w:firstLine="480" w:firstLineChars="200"/>
              <w:jc w:val="center"/>
              <w:rPr>
                <w:rFonts w:hint="default" w:asciiTheme="minorEastAsia" w:hAnsiTheme="minorEastAsia" w:eastAsiaTheme="minorEastAsia" w:cstheme="minorEastAsia"/>
                <w:b w:val="0"/>
                <w:bCs/>
                <w:color w:val="auto"/>
                <w:kern w:val="0"/>
                <w:sz w:val="24"/>
                <w:szCs w:val="24"/>
                <w:lang w:val="en-US" w:eastAsia="zh-CN" w:bidi="ar-SA"/>
              </w:rPr>
            </w:pPr>
          </w:p>
        </w:tc>
      </w:tr>
    </w:tbl>
    <w:p w14:paraId="28C19C7F">
      <w:pPr>
        <w:spacing w:line="360" w:lineRule="auto"/>
        <w:ind w:firstLine="480" w:firstLineChars="200"/>
        <w:jc w:val="center"/>
        <w:rPr>
          <w:rFonts w:hint="default" w:asciiTheme="minorEastAsia" w:hAnsiTheme="minorEastAsia" w:eastAsiaTheme="minorEastAsia" w:cstheme="minorEastAsia"/>
          <w:b w:val="0"/>
          <w:bCs/>
          <w:color w:val="auto"/>
          <w:kern w:val="0"/>
          <w:sz w:val="24"/>
          <w:szCs w:val="24"/>
          <w:lang w:val="en-US" w:eastAsia="zh-CN" w:bidi="ar-SA"/>
        </w:rPr>
      </w:pPr>
    </w:p>
    <w:p w14:paraId="14221D8E">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bookmarkStart w:id="4" w:name="_GoBack"/>
      <w:bookmarkEnd w:id="4"/>
    </w:p>
    <w:p w14:paraId="16A74B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1、运输、装卸、培训、安装调试：由中标人负责承担，最终通过使用科室、设备科及相关部门确认验收交付使用。国产设备交付，设备必须为6个月内生产的产品；进口设备交付，设备必须为1年内生产的产品。</w:t>
      </w:r>
    </w:p>
    <w:p w14:paraId="3BDC40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4ADA74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4FF180D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172F6BA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 年，终身维修。验收时出具原厂售后质保承诺书，质保期内每年巡检一次，并提交巡检记录。质保期内出现故障，1小时响应，响应后24小时上门服务。</w:t>
      </w:r>
    </w:p>
    <w:p w14:paraId="523C7DC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36CABD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7、设备如涉及网络接口费用，由中标人承担，采购人不再出具任何费用。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spacing w:line="480" w:lineRule="exact"/>
        <w:ind w:firstLine="6720" w:firstLineChars="2800"/>
        <w:jc w:val="right"/>
        <w:rPr>
          <w:rFonts w:hint="eastAsia" w:ascii="宋体" w:hAnsi="宋体" w:eastAsia="宋体" w:cs="宋体"/>
          <w:sz w:val="24"/>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spacing w:line="480" w:lineRule="exact"/>
        <w:jc w:val="center"/>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spacing w:line="480" w:lineRule="exact"/>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spacing w:line="480" w:lineRule="exact"/>
        <w:rPr>
          <w:rFonts w:hint="eastAsia" w:ascii="宋体" w:hAnsi="宋体" w:eastAsia="宋体" w:cs="宋体"/>
          <w:sz w:val="24"/>
        </w:rPr>
      </w:pPr>
      <w:r>
        <w:rPr>
          <w:rFonts w:hint="eastAsia" w:ascii="宋体" w:hAnsi="宋体" w:eastAsia="宋体" w:cs="宋体"/>
          <w:sz w:val="24"/>
        </w:rPr>
        <w:t>法定代表人：杨吉军</w:t>
      </w:r>
    </w:p>
    <w:p w14:paraId="5887DD5F">
      <w:pPr>
        <w:spacing w:line="480" w:lineRule="exact"/>
        <w:rPr>
          <w:rFonts w:hint="eastAsia" w:ascii="宋体" w:hAnsi="宋体" w:eastAsia="宋体" w:cs="宋体"/>
          <w:sz w:val="24"/>
        </w:rPr>
      </w:pPr>
      <w:r>
        <w:rPr>
          <w:rFonts w:hint="eastAsia" w:ascii="宋体" w:hAnsi="宋体" w:eastAsia="宋体" w:cs="宋体"/>
          <w:sz w:val="24"/>
        </w:rPr>
        <w:t>统一社会信用代码：12431300447162073W</w:t>
      </w:r>
    </w:p>
    <w:p w14:paraId="6F445FCC">
      <w:pPr>
        <w:spacing w:line="480" w:lineRule="exact"/>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spacing w:line="480" w:lineRule="exact"/>
        <w:rPr>
          <w:rFonts w:hint="eastAsia" w:ascii="宋体" w:hAnsi="宋体" w:eastAsia="宋体" w:cs="宋体"/>
          <w:sz w:val="24"/>
        </w:rPr>
      </w:pPr>
      <w:r>
        <w:rPr>
          <w:rFonts w:hint="eastAsia" w:ascii="宋体" w:hAnsi="宋体" w:eastAsia="宋体" w:cs="宋体"/>
          <w:sz w:val="24"/>
        </w:rPr>
        <w:t>联系人：朱振宇</w:t>
      </w:r>
    </w:p>
    <w:p w14:paraId="28B557E2">
      <w:pPr>
        <w:spacing w:line="480" w:lineRule="exact"/>
        <w:rPr>
          <w:rFonts w:hint="eastAsia" w:ascii="宋体" w:hAnsi="宋体" w:eastAsia="宋体" w:cs="宋体"/>
          <w:sz w:val="24"/>
        </w:rPr>
      </w:pPr>
      <w:r>
        <w:rPr>
          <w:rFonts w:hint="eastAsia" w:ascii="宋体" w:hAnsi="宋体" w:eastAsia="宋体" w:cs="宋体"/>
          <w:sz w:val="24"/>
        </w:rPr>
        <w:t>联系电话：15673845559</w:t>
      </w:r>
    </w:p>
    <w:p w14:paraId="4FF94993">
      <w:pPr>
        <w:rPr>
          <w:rFonts w:hint="eastAsia" w:ascii="宋体" w:hAnsi="宋体" w:eastAsia="宋体" w:cs="宋体"/>
          <w:sz w:val="24"/>
        </w:rPr>
      </w:pPr>
      <w:r>
        <w:rPr>
          <w:rFonts w:hint="eastAsia" w:ascii="宋体" w:hAnsi="宋体" w:eastAsia="宋体" w:cs="宋体"/>
          <w:b/>
          <w:bCs/>
          <w:sz w:val="24"/>
        </w:rPr>
        <w:t>乙方（供货方）：</w:t>
      </w:r>
    </w:p>
    <w:p w14:paraId="15A30D1E">
      <w:pPr>
        <w:spacing w:line="480" w:lineRule="exact"/>
        <w:rPr>
          <w:rFonts w:hint="eastAsia" w:ascii="宋体" w:hAnsi="宋体" w:eastAsia="宋体" w:cs="宋体"/>
          <w:sz w:val="24"/>
        </w:rPr>
      </w:pPr>
      <w:r>
        <w:rPr>
          <w:rFonts w:hint="eastAsia" w:ascii="宋体" w:hAnsi="宋体" w:eastAsia="宋体" w:cs="宋体"/>
          <w:sz w:val="24"/>
        </w:rPr>
        <w:t>法定代表人：</w:t>
      </w:r>
    </w:p>
    <w:p w14:paraId="53640530">
      <w:pPr>
        <w:spacing w:line="480" w:lineRule="exact"/>
        <w:rPr>
          <w:rFonts w:hint="eastAsia" w:ascii="宋体" w:hAnsi="宋体" w:eastAsia="宋体" w:cs="宋体"/>
          <w:sz w:val="24"/>
        </w:rPr>
      </w:pPr>
      <w:r>
        <w:rPr>
          <w:rFonts w:hint="eastAsia" w:ascii="宋体" w:hAnsi="宋体" w:eastAsia="宋体" w:cs="宋体"/>
          <w:sz w:val="24"/>
        </w:rPr>
        <w:t>统一社会信用代码：</w:t>
      </w:r>
    </w:p>
    <w:p w14:paraId="34C4B268">
      <w:pPr>
        <w:spacing w:line="480" w:lineRule="exact"/>
        <w:rPr>
          <w:rFonts w:hint="eastAsia" w:ascii="宋体" w:hAnsi="宋体" w:cs="宋体"/>
          <w:sz w:val="24"/>
        </w:rPr>
      </w:pPr>
      <w:r>
        <w:rPr>
          <w:rFonts w:hint="eastAsia" w:ascii="宋体" w:hAnsi="宋体" w:eastAsia="宋体" w:cs="宋体"/>
          <w:sz w:val="24"/>
        </w:rPr>
        <w:t>地址：</w:t>
      </w:r>
      <w:r>
        <w:rPr>
          <w:rFonts w:hint="eastAsia" w:ascii="宋体" w:hAnsi="宋体" w:cs="宋体"/>
          <w:sz w:val="24"/>
        </w:rPr>
        <w:t xml:space="preserve"> </w:t>
      </w:r>
    </w:p>
    <w:p w14:paraId="7218A9E6">
      <w:pPr>
        <w:spacing w:line="480" w:lineRule="exact"/>
        <w:rPr>
          <w:rFonts w:hint="eastAsia" w:ascii="宋体" w:hAnsi="宋体" w:eastAsia="宋体" w:cs="宋体"/>
          <w:sz w:val="24"/>
        </w:rPr>
      </w:pPr>
      <w:r>
        <w:rPr>
          <w:rFonts w:hint="eastAsia" w:ascii="宋体" w:hAnsi="宋体" w:eastAsia="宋体" w:cs="宋体"/>
          <w:sz w:val="24"/>
        </w:rPr>
        <w:t>联系人：</w:t>
      </w:r>
    </w:p>
    <w:p w14:paraId="36F8EEAF">
      <w:pPr>
        <w:spacing w:line="480" w:lineRule="exact"/>
        <w:rPr>
          <w:rFonts w:hint="eastAsia" w:ascii="宋体" w:hAnsi="宋体" w:eastAsia="宋体" w:cs="宋体"/>
          <w:sz w:val="24"/>
        </w:rPr>
      </w:pPr>
      <w:r>
        <w:rPr>
          <w:rFonts w:hint="eastAsia" w:ascii="宋体" w:hAnsi="宋体" w:eastAsia="宋体" w:cs="宋体"/>
          <w:sz w:val="24"/>
        </w:rPr>
        <w:t>联系电话：</w:t>
      </w:r>
    </w:p>
    <w:p w14:paraId="06E98885">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细胞分选仪</w:t>
      </w:r>
      <w:r>
        <w:rPr>
          <w:rFonts w:hint="eastAsia" w:ascii="宋体" w:hAnsi="宋体" w:eastAsia="宋体" w:cs="宋体"/>
          <w:color w:val="000000" w:themeColor="text1"/>
          <w:sz w:val="24"/>
          <w:u w:val="single"/>
          <w14:textFill>
            <w14:solidFill>
              <w14:schemeClr w14:val="tx1"/>
            </w14:solidFill>
          </w14:textFill>
        </w:rPr>
        <w:t>及专机专用耗材</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eastAsia="zh-CN"/>
          <w14:textFill>
            <w14:solidFill>
              <w14:schemeClr w14:val="tx1"/>
            </w14:solidFill>
          </w14:textFill>
        </w:rPr>
        <w:t>细胞分选仪</w:t>
      </w:r>
      <w:r>
        <w:rPr>
          <w:rFonts w:hint="eastAsia" w:ascii="宋体" w:hAnsi="宋体" w:eastAsia="宋体" w:cs="宋体"/>
          <w:color w:val="000000" w:themeColor="text1"/>
          <w:sz w:val="24"/>
          <w:u w:val="single"/>
          <w14:textFill>
            <w14:solidFill>
              <w14:schemeClr w14:val="tx1"/>
            </w14:solidFill>
          </w14:textFill>
        </w:rPr>
        <w:t>及专机专用耗材</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第一条  采购内容</w:t>
      </w:r>
    </w:p>
    <w:p w14:paraId="1A6DBC6A">
      <w:pPr>
        <w:numPr>
          <w:ilvl w:val="1"/>
          <w:numId w:val="0"/>
        </w:numPr>
        <w:spacing w:line="480" w:lineRule="exact"/>
        <w:ind w:firstLine="482" w:firstLineChars="200"/>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spacing w:line="480" w:lineRule="exact"/>
        <w:ind w:left="420" w:leftChars="200"/>
        <w:rPr>
          <w:rFonts w:hint="eastAsia" w:ascii="宋体" w:hAnsi="宋体" w:eastAsia="宋体" w:cs="宋体"/>
          <w:sz w:val="24"/>
        </w:rPr>
      </w:pPr>
      <w:r>
        <w:rPr>
          <w:rFonts w:hint="eastAsia" w:ascii="宋体" w:hAnsi="宋体" w:eastAsia="宋体" w:cs="宋体"/>
          <w:sz w:val="24"/>
        </w:rPr>
        <w:t>1.1.1 设备名称、品牌、型号、价格</w:t>
      </w:r>
    </w:p>
    <w:tbl>
      <w:tblPr>
        <w:tblStyle w:val="9"/>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32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36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243DDE05">
            <w:pPr>
              <w:widowControl/>
              <w:spacing w:line="320" w:lineRule="exac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lang w:eastAsia="zh-CN"/>
                <w14:textFill>
                  <w14:solidFill>
                    <w14:schemeClr w14:val="tx1"/>
                  </w14:solidFill>
                </w14:textFill>
              </w:rPr>
              <w:t>细胞分选仪</w:t>
            </w:r>
          </w:p>
        </w:tc>
        <w:tc>
          <w:tcPr>
            <w:tcW w:w="1320" w:type="dxa"/>
            <w:vAlign w:val="center"/>
          </w:tcPr>
          <w:p w14:paraId="747B32D7">
            <w:pPr>
              <w:widowControl/>
              <w:spacing w:line="320" w:lineRule="exact"/>
              <w:jc w:val="center"/>
              <w:rPr>
                <w:rFonts w:hint="eastAsia" w:ascii="宋体" w:hAnsi="宋体" w:eastAsia="宋体" w:cs="宋体"/>
                <w:color w:val="000000" w:themeColor="text1"/>
                <w:kern w:val="0"/>
                <w:sz w:val="24"/>
                <w14:textFill>
                  <w14:solidFill>
                    <w14:schemeClr w14:val="tx1"/>
                  </w14:solidFill>
                </w14:textFill>
              </w:rPr>
            </w:pPr>
          </w:p>
        </w:tc>
        <w:tc>
          <w:tcPr>
            <w:tcW w:w="1367" w:type="dxa"/>
            <w:vAlign w:val="center"/>
          </w:tcPr>
          <w:p w14:paraId="355A57D2">
            <w:pPr>
              <w:widowControl/>
              <w:spacing w:line="320" w:lineRule="exact"/>
              <w:jc w:val="center"/>
              <w:rPr>
                <w:rFonts w:hint="eastAsia" w:ascii="宋体" w:hAnsi="宋体" w:eastAsia="宋体" w:cs="宋体"/>
                <w:color w:val="000000" w:themeColor="text1"/>
                <w:kern w:val="0"/>
                <w:sz w:val="24"/>
                <w14:textFill>
                  <w14:solidFill>
                    <w14:schemeClr w14:val="tx1"/>
                  </w14:solidFill>
                </w14:textFill>
              </w:rPr>
            </w:pPr>
          </w:p>
        </w:tc>
        <w:tc>
          <w:tcPr>
            <w:tcW w:w="1320" w:type="dxa"/>
            <w:vAlign w:val="center"/>
          </w:tcPr>
          <w:p w14:paraId="65E7D48D">
            <w:pPr>
              <w:widowControl/>
              <w:spacing w:line="320" w:lineRule="exact"/>
              <w:jc w:val="center"/>
              <w:rPr>
                <w:rFonts w:hint="eastAsia" w:ascii="宋体" w:hAnsi="宋体" w:eastAsia="宋体" w:cs="宋体"/>
                <w:color w:val="000000" w:themeColor="text1"/>
                <w:kern w:val="0"/>
                <w:sz w:val="24"/>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1</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24"/>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元整      人民币（小写）：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1630E691">
      <w:pPr>
        <w:spacing w:line="480" w:lineRule="exact"/>
        <w:ind w:firstLine="420" w:firstLineChars="175"/>
        <w:rPr>
          <w:rFonts w:hint="eastAsia" w:ascii="宋体" w:hAnsi="宋体" w:eastAsia="宋体" w:cs="宋体"/>
          <w:sz w:val="24"/>
        </w:rPr>
      </w:pPr>
      <w:r>
        <w:rPr>
          <w:rFonts w:hint="eastAsia" w:ascii="宋体" w:hAnsi="宋体" w:eastAsia="宋体" w:cs="宋体"/>
          <w:sz w:val="24"/>
        </w:rPr>
        <w:t>1</w:t>
      </w:r>
    </w:p>
    <w:p w14:paraId="3D3B88DD">
      <w:pPr>
        <w:spacing w:line="480" w:lineRule="exact"/>
        <w:ind w:firstLine="420" w:firstLineChars="175"/>
        <w:rPr>
          <w:rFonts w:hint="eastAsia" w:ascii="宋体" w:hAnsi="宋体" w:eastAsia="宋体" w:cs="宋体"/>
          <w:sz w:val="24"/>
        </w:rPr>
      </w:pPr>
    </w:p>
    <w:p w14:paraId="346DC35E">
      <w:pPr>
        <w:spacing w:line="480" w:lineRule="exact"/>
        <w:ind w:firstLine="420" w:firstLineChars="175"/>
        <w:rPr>
          <w:rFonts w:hint="eastAsia" w:ascii="宋体" w:hAnsi="宋体" w:eastAsia="宋体" w:cs="宋体"/>
          <w:sz w:val="24"/>
        </w:rPr>
      </w:pPr>
    </w:p>
    <w:p w14:paraId="21AE449C">
      <w:pPr>
        <w:spacing w:line="480" w:lineRule="exact"/>
        <w:ind w:firstLine="420" w:firstLineChars="175"/>
        <w:rPr>
          <w:rFonts w:hint="eastAsia" w:ascii="宋体" w:hAnsi="宋体" w:eastAsia="宋体" w:cs="宋体"/>
          <w:sz w:val="24"/>
        </w:rPr>
      </w:pPr>
    </w:p>
    <w:p w14:paraId="5F4B0B12">
      <w:pPr>
        <w:spacing w:line="480" w:lineRule="exact"/>
        <w:ind w:firstLine="420" w:firstLineChars="175"/>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75940113">
      <w:pPr>
        <w:spacing w:line="480" w:lineRule="exact"/>
        <w:ind w:firstLine="420" w:firstLineChars="17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sz w:val="24"/>
        </w:rPr>
        <w:t xml:space="preserve"> </w:t>
      </w: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spacing w:line="480" w:lineRule="exact"/>
        <w:ind w:firstLine="480" w:firstLineChars="200"/>
        <w:rPr>
          <w:rFonts w:hint="eastAsia" w:ascii="宋体" w:hAnsi="宋体" w:eastAsia="宋体" w:cs="宋体"/>
          <w:sz w:val="24"/>
        </w:rPr>
      </w:pPr>
      <w:r>
        <w:rPr>
          <w:rFonts w:hint="eastAsia" w:ascii="宋体" w:hAnsi="宋体" w:eastAsia="宋体" w:cs="宋体"/>
          <w:sz w:val="24"/>
        </w:rPr>
        <w:t>1.2.1 耗材名称、规格型号、编号、单价</w:t>
      </w:r>
    </w:p>
    <w:tbl>
      <w:tblPr>
        <w:tblStyle w:val="9"/>
        <w:tblW w:w="8631" w:type="dxa"/>
        <w:tblInd w:w="-11" w:type="dxa"/>
        <w:tblLayout w:type="fixed"/>
        <w:tblCellMar>
          <w:top w:w="0" w:type="dxa"/>
          <w:left w:w="108" w:type="dxa"/>
          <w:bottom w:w="0" w:type="dxa"/>
          <w:right w:w="108" w:type="dxa"/>
        </w:tblCellMar>
      </w:tblPr>
      <w:tblGrid>
        <w:gridCol w:w="2390"/>
        <w:gridCol w:w="2425"/>
        <w:gridCol w:w="1908"/>
        <w:gridCol w:w="1908"/>
      </w:tblGrid>
      <w:tr w14:paraId="35FF3244">
        <w:tblPrEx>
          <w:tblCellMar>
            <w:top w:w="0" w:type="dxa"/>
            <w:left w:w="108" w:type="dxa"/>
            <w:bottom w:w="0" w:type="dxa"/>
            <w:right w:w="108" w:type="dxa"/>
          </w:tblCellMar>
        </w:tblPrEx>
        <w:trPr>
          <w:trHeight w:val="590" w:hRule="atLeast"/>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2425"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908"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组件编号</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C63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72A483C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/套</w:t>
            </w:r>
            <w:r>
              <w:rPr>
                <w:rFonts w:hint="eastAsia" w:asciiTheme="minorEastAsia" w:hAnsiTheme="minorEastAsia" w:cstheme="minorEastAsia"/>
                <w:b/>
                <w:bCs/>
                <w:color w:val="000000" w:themeColor="text1"/>
                <w:kern w:val="0"/>
                <w:sz w:val="24"/>
                <w14:textFill>
                  <w14:solidFill>
                    <w14:schemeClr w14:val="tx1"/>
                  </w14:solidFill>
                </w14:textFill>
              </w:rPr>
              <w:t>）</w:t>
            </w:r>
          </w:p>
        </w:tc>
      </w:tr>
      <w:tr w14:paraId="298C47DF">
        <w:tblPrEx>
          <w:tblCellMar>
            <w:top w:w="0" w:type="dxa"/>
            <w:left w:w="108" w:type="dxa"/>
            <w:bottom w:w="0" w:type="dxa"/>
            <w:right w:w="108" w:type="dxa"/>
          </w:tblCellMar>
        </w:tblPrEx>
        <w:trPr>
          <w:trHeight w:val="590" w:hRule="atLeast"/>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numPr>
                <w:ilvl w:val="1"/>
                <w:numId w:val="0"/>
              </w:numPr>
              <w:spacing w:line="440" w:lineRule="exact"/>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细胞过滤器</w:t>
            </w:r>
          </w:p>
        </w:tc>
        <w:tc>
          <w:tcPr>
            <w:tcW w:w="2425"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widowControl/>
              <w:jc w:val="center"/>
              <w:textAlignment w:val="bottom"/>
              <w:rPr>
                <w:rFonts w:hint="eastAsia" w:ascii="宋体" w:hAnsi="宋体" w:eastAsia="宋体" w:cs="宋体"/>
                <w:color w:val="000000"/>
                <w:kern w:val="0"/>
                <w:sz w:val="20"/>
                <w:szCs w:val="20"/>
                <w:lang w:val="en-US" w:eastAsia="zh-CN" w:bidi="ar"/>
              </w:rPr>
            </w:pPr>
          </w:p>
        </w:tc>
        <w:tc>
          <w:tcPr>
            <w:tcW w:w="1908"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widowControl/>
              <w:spacing w:line="380" w:lineRule="exact"/>
              <w:jc w:val="center"/>
              <w:rPr>
                <w:rFonts w:hint="eastAsia" w:ascii="宋体" w:hAnsi="宋体" w:eastAsia="宋体" w:cs="宋体"/>
                <w:color w:val="000000"/>
                <w:kern w:val="0"/>
                <w:sz w:val="20"/>
                <w:szCs w:val="20"/>
                <w:lang w:val="en-US" w:eastAsia="zh-CN" w:bidi="ar"/>
              </w:rPr>
            </w:pPr>
          </w:p>
        </w:tc>
        <w:tc>
          <w:tcPr>
            <w:tcW w:w="1908" w:type="dxa"/>
            <w:vMerge w:val="restart"/>
            <w:tcBorders>
              <w:top w:val="single" w:color="000000" w:sz="4" w:space="0"/>
              <w:left w:val="single" w:color="000000" w:sz="4" w:space="0"/>
              <w:right w:val="single" w:color="000000" w:sz="4" w:space="0"/>
            </w:tcBorders>
            <w:shd w:val="clear" w:color="auto" w:fill="auto"/>
            <w:vAlign w:val="center"/>
          </w:tcPr>
          <w:p w14:paraId="6424C44C">
            <w:pPr>
              <w:widowControl/>
              <w:spacing w:line="380" w:lineRule="exact"/>
              <w:jc w:val="center"/>
              <w:rPr>
                <w:rFonts w:hint="eastAsia" w:ascii="宋体" w:hAnsi="宋体" w:eastAsia="宋体" w:cs="宋体"/>
                <w:color w:val="000000"/>
                <w:kern w:val="0"/>
                <w:sz w:val="20"/>
                <w:szCs w:val="20"/>
                <w:lang w:val="en-US" w:eastAsia="zh-CN" w:bidi="ar"/>
              </w:rPr>
            </w:pPr>
          </w:p>
        </w:tc>
      </w:tr>
      <w:tr w14:paraId="38746490">
        <w:tblPrEx>
          <w:tblCellMar>
            <w:top w:w="0" w:type="dxa"/>
            <w:left w:w="108" w:type="dxa"/>
            <w:bottom w:w="0" w:type="dxa"/>
            <w:right w:w="108" w:type="dxa"/>
          </w:tblCellMar>
        </w:tblPrEx>
        <w:trPr>
          <w:trHeight w:val="590" w:hRule="atLeast"/>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97CF">
            <w:pPr>
              <w:numPr>
                <w:ilvl w:val="1"/>
                <w:numId w:val="0"/>
              </w:numPr>
              <w:spacing w:line="440" w:lineRule="exact"/>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血细胞分用染色液</w:t>
            </w:r>
          </w:p>
        </w:tc>
        <w:tc>
          <w:tcPr>
            <w:tcW w:w="2425" w:type="dxa"/>
            <w:tcBorders>
              <w:top w:val="single" w:color="auto" w:sz="4" w:space="0"/>
              <w:left w:val="single" w:color="000000" w:sz="4" w:space="0"/>
              <w:bottom w:val="single" w:color="000000" w:sz="4" w:space="0"/>
              <w:right w:val="single" w:color="auto" w:sz="4" w:space="0"/>
            </w:tcBorders>
            <w:shd w:val="clear" w:color="auto" w:fill="auto"/>
            <w:vAlign w:val="center"/>
          </w:tcPr>
          <w:p w14:paraId="00F3D089">
            <w:pPr>
              <w:widowControl/>
              <w:jc w:val="center"/>
              <w:textAlignment w:val="bottom"/>
              <w:rPr>
                <w:rFonts w:hint="eastAsia" w:ascii="宋体" w:hAnsi="宋体" w:eastAsia="宋体" w:cs="宋体"/>
                <w:color w:val="000000"/>
                <w:kern w:val="0"/>
                <w:sz w:val="20"/>
                <w:szCs w:val="20"/>
                <w:lang w:val="en-US" w:eastAsia="zh-CN" w:bidi="ar"/>
              </w:rPr>
            </w:pPr>
          </w:p>
        </w:tc>
        <w:tc>
          <w:tcPr>
            <w:tcW w:w="1908" w:type="dxa"/>
            <w:tcBorders>
              <w:top w:val="single" w:color="auto" w:sz="4" w:space="0"/>
              <w:left w:val="single" w:color="auto" w:sz="4" w:space="0"/>
              <w:bottom w:val="single" w:color="000000" w:sz="4" w:space="0"/>
              <w:right w:val="single" w:color="000000" w:sz="4" w:space="0"/>
            </w:tcBorders>
            <w:shd w:val="clear" w:color="auto" w:fill="auto"/>
            <w:vAlign w:val="center"/>
          </w:tcPr>
          <w:p w14:paraId="1B410B7F">
            <w:pPr>
              <w:widowControl/>
              <w:spacing w:line="380" w:lineRule="exact"/>
              <w:jc w:val="center"/>
              <w:rPr>
                <w:rFonts w:hint="eastAsia" w:ascii="宋体" w:hAnsi="宋体" w:eastAsia="宋体" w:cs="宋体"/>
                <w:color w:val="000000"/>
                <w:kern w:val="0"/>
                <w:sz w:val="20"/>
                <w:szCs w:val="20"/>
                <w:lang w:val="en-US" w:eastAsia="zh-CN" w:bidi="ar"/>
              </w:rPr>
            </w:pPr>
          </w:p>
        </w:tc>
        <w:tc>
          <w:tcPr>
            <w:tcW w:w="1908" w:type="dxa"/>
            <w:vMerge w:val="continue"/>
            <w:tcBorders>
              <w:left w:val="single" w:color="000000" w:sz="4" w:space="0"/>
              <w:bottom w:val="single" w:color="000000" w:sz="4" w:space="0"/>
              <w:right w:val="single" w:color="000000" w:sz="4" w:space="0"/>
            </w:tcBorders>
            <w:shd w:val="clear" w:color="auto" w:fill="auto"/>
            <w:vAlign w:val="center"/>
          </w:tcPr>
          <w:p w14:paraId="47724A60">
            <w:pPr>
              <w:widowControl/>
              <w:spacing w:line="380" w:lineRule="exact"/>
              <w:jc w:val="center"/>
              <w:rPr>
                <w:rFonts w:hint="eastAsia" w:ascii="宋体" w:hAnsi="宋体" w:eastAsia="宋体" w:cs="宋体"/>
                <w:color w:val="000000"/>
                <w:kern w:val="0"/>
                <w:sz w:val="20"/>
                <w:szCs w:val="20"/>
                <w:lang w:val="en-US" w:eastAsia="zh-CN" w:bidi="ar"/>
              </w:rPr>
            </w:pPr>
          </w:p>
        </w:tc>
      </w:tr>
    </w:tbl>
    <w:p w14:paraId="15674ED5">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3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lang w:eastAsia="zh-CN"/>
          <w14:textFill>
            <w14:solidFill>
              <w14:schemeClr w14:val="tx1"/>
            </w14:solidFill>
          </w14:textFill>
        </w:rPr>
        <w:t>细胞分选仪</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spacing w:line="440" w:lineRule="exact"/>
        <w:ind w:firstLine="480" w:firstLineChars="200"/>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spacing w:line="440" w:lineRule="exact"/>
        <w:ind w:firstLine="480" w:firstLineChars="200"/>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spacing w:line="440" w:lineRule="exact"/>
        <w:ind w:firstLine="480" w:firstLineChars="200"/>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交货时间：乙方自甲方发送专机专用耗材书面订单之日起5日内，按书面订单要求将耗材送至甲方指定地点，非工作日、节假日正常执行。</w:t>
      </w:r>
    </w:p>
    <w:p w14:paraId="4D2450A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FF0000"/>
          <w:sz w:val="24"/>
          <w:lang w:val="en-US" w:eastAsia="zh-CN"/>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spacing w:line="440" w:lineRule="exact"/>
        <w:ind w:firstLine="482" w:firstLineChars="200"/>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488C1DDD">
      <w:pPr>
        <w:spacing w:line="440" w:lineRule="exact"/>
        <w:ind w:firstLine="480" w:firstLineChars="200"/>
        <w:rPr>
          <w:rFonts w:hint="eastAsia" w:ascii="宋体" w:hAnsi="宋体" w:eastAsia="宋体" w:cs="宋体"/>
          <w:sz w:val="24"/>
        </w:rPr>
      </w:pPr>
      <w:r>
        <w:rPr>
          <w:rFonts w:hint="eastAsia" w:ascii="宋体" w:hAnsi="宋体" w:eastAsia="宋体" w:cs="宋体"/>
          <w:sz w:val="24"/>
        </w:rPr>
        <w:t>3.1.1 乙方提供设备的质量、安装应符合或优于国家标准；如响应文件中的技术参数和质量标准高于国家标准，则设备的技术参数和质量标准以响应文件为准。</w:t>
      </w:r>
    </w:p>
    <w:p w14:paraId="42628326">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spacing w:line="460" w:lineRule="exact"/>
        <w:ind w:firstLine="480" w:firstLineChars="200"/>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rPr>
        <w:t>7</w:t>
      </w:r>
      <w:r>
        <w:rPr>
          <w:rFonts w:hint="eastAsia" w:ascii="宋体" w:hAnsi="宋体" w:eastAsia="宋体" w:cs="宋体"/>
          <w:sz w:val="24"/>
        </w:rPr>
        <w:t>日内无条件予以更换。</w:t>
      </w:r>
    </w:p>
    <w:p w14:paraId="46CDBA0C">
      <w:pPr>
        <w:spacing w:line="4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spacing w:line="460" w:lineRule="exact"/>
        <w:ind w:firstLine="480" w:firstLineChars="200"/>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spacing w:line="460" w:lineRule="exact"/>
        <w:ind w:firstLine="480" w:firstLineChars="200"/>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spacing w:line="440" w:lineRule="exact"/>
        <w:ind w:firstLine="480" w:firstLineChars="200"/>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top"/>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甲方有权拒收。乙方应在甲方拒收之日起3日内，向甲方更换合                                                                                                                                                                                                                                                                                                                                                                                                                                                                                                                                                                                                                                                                                                                                                                                                                                                                                                                                                                                                                                                                                                                                                                                                                                                  格的医用耗材。</w:t>
      </w:r>
    </w:p>
    <w:p w14:paraId="20DD361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14:textFill>
            <w14:solidFill>
              <w14:schemeClr w14:val="tx1"/>
            </w14:solidFill>
          </w14:textFill>
        </w:rPr>
        <w:t xml:space="preserve"> 3 </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 xml:space="preserve">  邓时敏  </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widowControl/>
        <w:numPr>
          <w:ilvl w:val="255"/>
          <w:numId w:val="0"/>
        </w:numPr>
        <w:spacing w:line="440" w:lineRule="exact"/>
        <w:ind w:firstLine="482" w:firstLineChars="200"/>
        <w:jc w:val="lef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widowControl/>
        <w:numPr>
          <w:ilvl w:val="255"/>
          <w:numId w:val="0"/>
        </w:numPr>
        <w:spacing w:line="440" w:lineRule="exact"/>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6.1  设备结算</w:t>
      </w:r>
    </w:p>
    <w:p w14:paraId="19705D8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14:textFill>
            <w14:solidFill>
              <w14:schemeClr w14:val="tx1"/>
            </w14:solidFill>
          </w14:textFill>
        </w:rPr>
        <w:t xml:space="preserve"> 月 </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6.3  乙方委派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spacing w:line="440" w:lineRule="exact"/>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开户名：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spacing w:line="44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spacing w:line="440" w:lineRule="exact"/>
        <w:ind w:firstLine="480" w:firstLineChars="200"/>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账号：</w:t>
      </w:r>
      <w:r>
        <w:rPr>
          <w:rFonts w:hint="eastAsia"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14:paraId="361C3171">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spacing w:line="5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spacing w:line="5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spacing w:line="500" w:lineRule="exact"/>
        <w:ind w:firstLine="482" w:firstLineChars="200"/>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14:textFill>
            <w14:solidFill>
              <w14:schemeClr w14:val="tx1"/>
            </w14:solidFill>
          </w14:textFill>
        </w:rPr>
        <w:t>娄底市娄星区</w:t>
      </w:r>
      <w:r>
        <w:rPr>
          <w:rFonts w:ascii="宋体" w:hAnsi="宋体" w:eastAsia="宋体" w:cs="宋体"/>
          <w:color w:val="000000" w:themeColor="text1"/>
          <w:sz w:val="24"/>
          <w:u w:val="single"/>
          <w14:textFill>
            <w14:solidFill>
              <w14:schemeClr w14:val="tx1"/>
            </w14:solidFill>
          </w14:textFill>
        </w:rPr>
        <w:t>长青中街51号</w:t>
      </w:r>
      <w:r>
        <w:rPr>
          <w:rFonts w:hint="eastAsia" w:ascii="宋体" w:hAnsi="宋体" w:eastAsia="宋体" w:cs="宋体"/>
          <w:color w:val="000000" w:themeColor="text1"/>
          <w:sz w:val="24"/>
          <w:u w:val="single"/>
          <w14:textFill>
            <w14:solidFill>
              <w14:schemeClr w14:val="tx1"/>
            </w14:solidFill>
          </w14:textFill>
        </w:rPr>
        <w:t>娄底市中心医院设备科</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15673845559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7248283@qq</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 </w:t>
      </w:r>
      <w:r>
        <w:rPr>
          <w:rFonts w:ascii="宋体" w:hAnsi="宋体" w:eastAsia="宋体" w:cs="宋体"/>
          <w:color w:val="000000" w:themeColor="text1"/>
          <w:sz w:val="24"/>
          <w14:textFill>
            <w14:solidFill>
              <w14:schemeClr w14:val="tx1"/>
            </w14:solidFill>
          </w14:textFill>
        </w:rPr>
        <w:t>。</w:t>
      </w:r>
    </w:p>
    <w:p w14:paraId="2282019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6C4209A3">
      <w:pPr>
        <w:spacing w:line="440" w:lineRule="exact"/>
        <w:ind w:firstLine="480" w:firstLineChars="200"/>
        <w:rPr>
          <w:rFonts w:hint="eastAsia" w:ascii="宋体" w:hAnsi="宋体" w:eastAsia="宋体" w:cs="宋体"/>
          <w:color w:val="FF0000"/>
          <w:sz w:val="24"/>
        </w:rPr>
      </w:pPr>
      <w:r>
        <w:rPr>
          <w:rFonts w:hint="eastAsia" w:ascii="宋体" w:hAnsi="宋体" w:eastAsia="宋体" w:cs="宋体"/>
          <w:color w:val="000000" w:themeColor="text1"/>
          <w:sz w:val="24"/>
          <w14:textFill>
            <w14:solidFill>
              <w14:schemeClr w14:val="tx1"/>
            </w14:solidFill>
          </w14:textFill>
        </w:rPr>
        <w:t xml:space="preserve">12.4  </w:t>
      </w:r>
      <w:r>
        <w:rPr>
          <w:rFonts w:hint="eastAsia" w:ascii="宋体" w:hAnsi="宋体" w:eastAsia="宋体" w:cs="宋体"/>
          <w:color w:val="FF0000"/>
          <w:sz w:val="24"/>
        </w:rPr>
        <w:t>如乙方单方解除合同或甲方因乙方原因解除合同，乙方应赔偿给甲方造成的全部经济损失外还应向甲方支付违约金</w:t>
      </w:r>
      <w:r>
        <w:rPr>
          <w:rFonts w:hint="eastAsia" w:ascii="宋体" w:hAnsi="宋体" w:eastAsia="宋体" w:cs="宋体"/>
          <w:color w:val="FF0000"/>
          <w:sz w:val="24"/>
          <w:u w:val="single"/>
        </w:rPr>
        <w:t xml:space="preserve"> 10000.00 </w:t>
      </w:r>
      <w:r>
        <w:rPr>
          <w:rFonts w:hint="eastAsia" w:ascii="宋体" w:hAnsi="宋体" w:eastAsia="宋体" w:cs="宋体"/>
          <w:color w:val="FF0000"/>
          <w:sz w:val="24"/>
        </w:rPr>
        <w:t>元。</w:t>
      </w:r>
    </w:p>
    <w:p w14:paraId="3C7895A5">
      <w:pPr>
        <w:spacing w:line="440" w:lineRule="exact"/>
        <w:ind w:firstLine="482" w:firstLineChars="200"/>
        <w:rPr>
          <w:rFonts w:hint="eastAsia" w:ascii="宋体" w:hAnsi="宋体" w:eastAsia="宋体" w:cs="宋体"/>
          <w:b/>
          <w:bCs/>
          <w:color w:val="000000" w:themeColor="text1"/>
          <w:sz w:val="24"/>
          <w:u w:val="single"/>
          <w14:textFill>
            <w14:solidFill>
              <w14:schemeClr w14:val="tx1"/>
            </w14:solidFill>
          </w14:textFill>
        </w:rPr>
      </w:pPr>
      <w:r>
        <w:rPr>
          <w:rFonts w:hint="eastAsia" w:ascii="宋体" w:hAnsi="宋体" w:eastAsia="宋体" w:cs="宋体"/>
          <w:b/>
          <w:bCs/>
          <w:color w:val="FF0000"/>
          <w:sz w:val="24"/>
          <w:u w:val="single"/>
        </w:rPr>
        <w:t>12.</w:t>
      </w:r>
      <w:r>
        <w:rPr>
          <w:rFonts w:hint="eastAsia" w:ascii="宋体" w:hAnsi="宋体" w:eastAsia="宋体" w:cs="宋体"/>
          <w:b/>
          <w:bCs/>
          <w:color w:val="FF0000"/>
          <w:sz w:val="24"/>
          <w:u w:val="single"/>
          <w:lang w:val="en-US" w:eastAsia="zh-CN"/>
        </w:rPr>
        <w:t>5</w:t>
      </w:r>
      <w:r>
        <w:rPr>
          <w:rFonts w:hint="eastAsia" w:ascii="宋体" w:hAnsi="宋体" w:eastAsia="宋体" w:cs="宋体"/>
          <w:b/>
          <w:bCs/>
          <w:color w:val="000000" w:themeColor="text1"/>
          <w:sz w:val="24"/>
          <w:u w:val="single"/>
          <w14:textFill>
            <w14:solidFill>
              <w14:schemeClr w14:val="tx1"/>
            </w14:solidFill>
          </w14:textFill>
        </w:rPr>
        <w:t xml:space="preserve"> 无论甲方在任意时候（不限于本合同履行期间）发现存在违反本合同廉洁条款及供应商考核管理制度约定的行为，</w:t>
      </w:r>
      <w:r>
        <w:rPr>
          <w:rFonts w:hint="eastAsia" w:ascii="宋体" w:hAnsi="宋体" w:eastAsia="宋体" w:cs="宋体"/>
          <w:b/>
          <w:bCs/>
          <w:color w:val="FF0000"/>
          <w:sz w:val="24"/>
          <w:u w:val="single"/>
        </w:rPr>
        <w:t>乙方均须向甲方一次性支付惩罚性违约金10000.00元，</w:t>
      </w:r>
      <w:r>
        <w:rPr>
          <w:rFonts w:hint="eastAsia" w:ascii="宋体" w:hAnsi="宋体" w:eastAsia="宋体" w:cs="宋体"/>
          <w:b/>
          <w:bCs/>
          <w:color w:val="000000" w:themeColor="text1"/>
          <w:sz w:val="24"/>
          <w:u w:val="single"/>
          <w14:textFill>
            <w14:solidFill>
              <w14:schemeClr w14:val="tx1"/>
            </w14:solidFill>
          </w14:textFill>
        </w:rPr>
        <w:t>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7911B647">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FF0000"/>
          <w:sz w:val="24"/>
          <w:u w:val="single"/>
        </w:rPr>
        <w:t>12.</w:t>
      </w:r>
      <w:r>
        <w:rPr>
          <w:rFonts w:hint="eastAsia" w:ascii="宋体" w:hAnsi="宋体" w:eastAsia="宋体" w:cs="宋体"/>
          <w:b/>
          <w:bCs/>
          <w:color w:val="FF0000"/>
          <w:sz w:val="24"/>
          <w:u w:val="single"/>
          <w:lang w:val="en-US" w:eastAsia="zh-CN"/>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4A090CB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14.1 本合同组成文件和优先解释顺序：乙方在履行本合同中作出的书面承诺；本合同补充协议；本合同及附件；议价结果公示；响应文件；采购文件；其他与本合同有关的资料。</w:t>
      </w:r>
    </w:p>
    <w:p w14:paraId="5838E19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14.2 本合同一式伍份，甲方执肆份、乙方执壹份，自双方签字并盖章后生效。</w:t>
      </w:r>
    </w:p>
    <w:p w14:paraId="1117EF11">
      <w:pPr>
        <w:spacing w:line="480" w:lineRule="exact"/>
        <w:rPr>
          <w:rFonts w:ascii="宋体" w:hAnsi="宋体" w:eastAsia="宋体" w:cs="宋体"/>
          <w:color w:val="000000" w:themeColor="text1"/>
          <w:sz w:val="24"/>
          <w14:textFill>
            <w14:solidFill>
              <w14:schemeClr w14:val="tx1"/>
            </w14:solidFill>
          </w14:textFill>
        </w:rPr>
      </w:pPr>
    </w:p>
    <w:p w14:paraId="14FDADB0">
      <w:pPr>
        <w:spacing w:line="480" w:lineRule="exact"/>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2"/>
        <w:rPr>
          <w:rFonts w:hint="eastAsia" w:eastAsia="宋体"/>
          <w:color w:val="000000" w:themeColor="text1"/>
          <w:sz w:val="24"/>
          <w:lang w:val="en-US" w:eastAsia="zh-CN"/>
          <w14:textFill>
            <w14:solidFill>
              <w14:schemeClr w14:val="tx1"/>
            </w14:solidFill>
          </w14:textFill>
        </w:rPr>
      </w:pPr>
    </w:p>
    <w:p w14:paraId="7B0A7657">
      <w:pPr>
        <w:pStyle w:val="2"/>
        <w:rPr>
          <w:rFonts w:hint="default" w:eastAsia="宋体"/>
          <w:color w:val="000000" w:themeColor="text1"/>
          <w:sz w:val="24"/>
          <w:lang w:val="en-US" w:eastAsia="zh-CN"/>
          <w14:textFill>
            <w14:solidFill>
              <w14:schemeClr w14:val="tx1"/>
            </w14:solidFill>
          </w14:textFill>
        </w:rPr>
      </w:pPr>
    </w:p>
    <w:p w14:paraId="203F3F8E">
      <w:pPr>
        <w:spacing w:line="480" w:lineRule="exac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法定代表人（签字）：    </w:t>
      </w:r>
    </w:p>
    <w:p w14:paraId="5147420F">
      <w:pPr>
        <w:pStyle w:val="2"/>
        <w:rPr>
          <w:rFonts w:ascii="宋体" w:hAnsi="宋体" w:eastAsia="宋体" w:cs="宋体"/>
          <w:color w:val="000000" w:themeColor="text1"/>
          <w:sz w:val="24"/>
          <w14:textFill>
            <w14:solidFill>
              <w14:schemeClr w14:val="tx1"/>
            </w14:solidFill>
          </w14:textFill>
        </w:rPr>
      </w:pPr>
    </w:p>
    <w:p w14:paraId="69383CB0">
      <w:pPr>
        <w:pStyle w:val="2"/>
        <w:rPr>
          <w:rFonts w:hint="eastAsia" w:ascii="宋体" w:hAnsi="宋体" w:eastAsia="宋体" w:cs="宋体"/>
          <w:color w:val="000000" w:themeColor="text1"/>
          <w:sz w:val="24"/>
          <w14:textFill>
            <w14:solidFill>
              <w14:schemeClr w14:val="tx1"/>
            </w14:solidFill>
          </w14:textFill>
        </w:rPr>
      </w:pPr>
    </w:p>
    <w:p w14:paraId="01FC9D73">
      <w:pPr>
        <w:pStyle w:val="2"/>
        <w:ind w:left="0" w:leftChars="0" w:firstLine="0" w:firstLineChars="0"/>
        <w:rPr>
          <w:rFonts w:hint="eastAsia"/>
        </w:rPr>
      </w:pPr>
    </w:p>
    <w:p w14:paraId="094475EA">
      <w:pPr>
        <w:spacing w:line="48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2"/>
        <w:rPr>
          <w:rFonts w:ascii="宋体" w:hAnsi="宋体" w:eastAsia="宋体" w:cs="宋体"/>
          <w:color w:val="000000" w:themeColor="text1"/>
          <w:sz w:val="24"/>
          <w14:textFill>
            <w14:solidFill>
              <w14:schemeClr w14:val="tx1"/>
            </w14:solidFill>
          </w14:textFill>
        </w:rPr>
      </w:pPr>
    </w:p>
    <w:p w14:paraId="19C229F6">
      <w:pPr>
        <w:pStyle w:val="2"/>
        <w:rPr>
          <w:rFonts w:hint="eastAsia" w:ascii="宋体" w:hAnsi="宋体" w:eastAsia="宋体" w:cs="宋体"/>
          <w:color w:val="000000" w:themeColor="text1"/>
          <w:sz w:val="24"/>
          <w14:textFill>
            <w14:solidFill>
              <w14:schemeClr w14:val="tx1"/>
            </w14:solidFill>
          </w14:textFill>
        </w:rPr>
      </w:pPr>
    </w:p>
    <w:p w14:paraId="226C49FB">
      <w:pPr>
        <w:spacing w:line="480" w:lineRule="exact"/>
        <w:rPr>
          <w:rFonts w:hint="eastAsia" w:ascii="宋体" w:hAnsi="宋体" w:eastAsia="宋体" w:cs="宋体"/>
          <w:color w:val="000000" w:themeColor="text1"/>
          <w:sz w:val="24"/>
          <w14:textFill>
            <w14:solidFill>
              <w14:schemeClr w14:val="tx1"/>
            </w14:solidFill>
          </w14:textFill>
        </w:rPr>
      </w:pPr>
    </w:p>
    <w:p w14:paraId="2F5EEFF6">
      <w:pPr>
        <w:spacing w:line="480" w:lineRule="exact"/>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14:textFill>
            <w14:solidFill>
              <w14:schemeClr w14:val="tx1"/>
            </w14:solidFill>
          </w14:textFill>
        </w:rPr>
        <w:t xml:space="preserve">2025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198F0C4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eastAsiaTheme="minorEastAsia"/>
          <w:color w:val="000000" w:themeColor="text1"/>
          <w:highlight w:val="none"/>
          <w:lang w:eastAsia="zh-CN"/>
          <w14:textFill>
            <w14:solidFill>
              <w14:schemeClr w14:val="tx1"/>
            </w14:solidFill>
          </w14:textFill>
        </w:rPr>
      </w:pP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Borders>
            <w:top w:val="none" w:sz="0" w:space="0"/>
            <w:left w:val="none" w:sz="0" w:space="0"/>
            <w:bottom w:val="none" w:sz="0" w:space="0"/>
            <w:right w:val="none" w:sz="0" w:space="0"/>
          </w:pgBorders>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2A2087"/>
    <w:rsid w:val="016C2C01"/>
    <w:rsid w:val="02390242"/>
    <w:rsid w:val="03E43FAE"/>
    <w:rsid w:val="04653F41"/>
    <w:rsid w:val="04B72FC8"/>
    <w:rsid w:val="04F57A38"/>
    <w:rsid w:val="050719CA"/>
    <w:rsid w:val="06934BAA"/>
    <w:rsid w:val="06E91EC4"/>
    <w:rsid w:val="086F75C9"/>
    <w:rsid w:val="09C0303A"/>
    <w:rsid w:val="0A3F4F3C"/>
    <w:rsid w:val="0A8A74D4"/>
    <w:rsid w:val="0D2461D9"/>
    <w:rsid w:val="0E331420"/>
    <w:rsid w:val="0EDD1643"/>
    <w:rsid w:val="0FB9029C"/>
    <w:rsid w:val="105863D3"/>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4881A32"/>
    <w:rsid w:val="25266F96"/>
    <w:rsid w:val="272B6E6C"/>
    <w:rsid w:val="27402C7B"/>
    <w:rsid w:val="27CF2BB7"/>
    <w:rsid w:val="28E81B29"/>
    <w:rsid w:val="28FD390A"/>
    <w:rsid w:val="29B45A41"/>
    <w:rsid w:val="2A174DA9"/>
    <w:rsid w:val="2AB010A8"/>
    <w:rsid w:val="2AC66F99"/>
    <w:rsid w:val="2C0A2E19"/>
    <w:rsid w:val="2C7642D0"/>
    <w:rsid w:val="2DD77C64"/>
    <w:rsid w:val="2DDA1E78"/>
    <w:rsid w:val="2DE00B8C"/>
    <w:rsid w:val="2EAC037F"/>
    <w:rsid w:val="2EB67A5C"/>
    <w:rsid w:val="2ECC7355"/>
    <w:rsid w:val="302741D2"/>
    <w:rsid w:val="308B184D"/>
    <w:rsid w:val="309C1E01"/>
    <w:rsid w:val="30BB11DD"/>
    <w:rsid w:val="31F17CD1"/>
    <w:rsid w:val="33384C93"/>
    <w:rsid w:val="340F06E9"/>
    <w:rsid w:val="366241E2"/>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A354E62"/>
    <w:rsid w:val="4AEE1A11"/>
    <w:rsid w:val="4B7F39F4"/>
    <w:rsid w:val="4BAE567A"/>
    <w:rsid w:val="4BAE646F"/>
    <w:rsid w:val="4CAC1559"/>
    <w:rsid w:val="4D754257"/>
    <w:rsid w:val="4DCD6AB3"/>
    <w:rsid w:val="4E6C6347"/>
    <w:rsid w:val="50216DCD"/>
    <w:rsid w:val="50540C20"/>
    <w:rsid w:val="506258C6"/>
    <w:rsid w:val="51AC28BD"/>
    <w:rsid w:val="52183ACC"/>
    <w:rsid w:val="53B55872"/>
    <w:rsid w:val="54AD4386"/>
    <w:rsid w:val="581A7C72"/>
    <w:rsid w:val="583A4BD7"/>
    <w:rsid w:val="59C74B1F"/>
    <w:rsid w:val="5C3919E3"/>
    <w:rsid w:val="5DF4541F"/>
    <w:rsid w:val="611B6B1B"/>
    <w:rsid w:val="62C222C2"/>
    <w:rsid w:val="632D7C40"/>
    <w:rsid w:val="64133D6A"/>
    <w:rsid w:val="66621261"/>
    <w:rsid w:val="678E4F5D"/>
    <w:rsid w:val="67F3562A"/>
    <w:rsid w:val="680E122C"/>
    <w:rsid w:val="6A2820A4"/>
    <w:rsid w:val="6A4E1D63"/>
    <w:rsid w:val="6CA409DF"/>
    <w:rsid w:val="6DE375E4"/>
    <w:rsid w:val="6E8E5287"/>
    <w:rsid w:val="6FAD463B"/>
    <w:rsid w:val="6FBE332C"/>
    <w:rsid w:val="71554367"/>
    <w:rsid w:val="71584067"/>
    <w:rsid w:val="71F26E91"/>
    <w:rsid w:val="735201FF"/>
    <w:rsid w:val="737B50A4"/>
    <w:rsid w:val="73F40E72"/>
    <w:rsid w:val="74566F5C"/>
    <w:rsid w:val="750117A8"/>
    <w:rsid w:val="755B2270"/>
    <w:rsid w:val="75E27514"/>
    <w:rsid w:val="76920D75"/>
    <w:rsid w:val="77423DFF"/>
    <w:rsid w:val="783B5EA9"/>
    <w:rsid w:val="79EB699D"/>
    <w:rsid w:val="7A543FCE"/>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2"/>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2029</Words>
  <Characters>2223</Characters>
  <Lines>0</Lines>
  <Paragraphs>0</Paragraphs>
  <TotalTime>13</TotalTime>
  <ScaleCrop>false</ScaleCrop>
  <LinksUpToDate>false</LinksUpToDate>
  <CharactersWithSpaces>2229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2025-05-30T01:26:31Z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