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D39C">
      <w:pPr>
        <w:pStyle w:val="15"/>
        <w:snapToGrid w:val="0"/>
        <w:jc w:val="center"/>
        <w:rPr>
          <w:rFonts w:ascii="Arial" w:hAnsi="Arial" w:eastAsia="方正小标宋简体" w:cs="Arial"/>
          <w:color w:val="auto"/>
          <w:sz w:val="72"/>
          <w:szCs w:val="72"/>
        </w:rPr>
      </w:pPr>
    </w:p>
    <w:p w14:paraId="0B545FB1">
      <w:pPr>
        <w:pStyle w:val="1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lang w:eastAsia="zh-CN"/>
        </w:rPr>
        <w:t>广州医科大学附属第一医院娄底医院</w:t>
      </w:r>
      <w:r>
        <w:rPr>
          <w:rFonts w:hint="eastAsia" w:ascii="Arial" w:hAnsi="Arial" w:eastAsia="方正小标宋简体" w:cs="Arial"/>
          <w:color w:val="auto"/>
          <w:sz w:val="72"/>
          <w:szCs w:val="72"/>
        </w:rPr>
        <w:t>院内</w:t>
      </w:r>
    </w:p>
    <w:p w14:paraId="1A8803A0">
      <w:pPr>
        <w:pStyle w:val="15"/>
        <w:snapToGrid w:val="0"/>
        <w:jc w:val="center"/>
        <w:rPr>
          <w:rFonts w:ascii="Arial" w:hAnsi="Arial" w:eastAsia="方正小标宋简体" w:cs="Arial"/>
          <w:color w:val="auto"/>
          <w:sz w:val="72"/>
          <w:szCs w:val="72"/>
        </w:rPr>
      </w:pPr>
    </w:p>
    <w:p w14:paraId="1974BDE6">
      <w:pPr>
        <w:pStyle w:val="1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576C414">
      <w:pPr>
        <w:pStyle w:val="15"/>
        <w:snapToGrid w:val="0"/>
        <w:jc w:val="center"/>
        <w:rPr>
          <w:rFonts w:ascii="Arial" w:hAnsi="Arial" w:eastAsia="方正小标宋简体" w:cs="Arial"/>
          <w:color w:val="auto"/>
          <w:sz w:val="72"/>
          <w:szCs w:val="72"/>
        </w:rPr>
      </w:pPr>
    </w:p>
    <w:p w14:paraId="58C9A7A7">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85ABD7E">
      <w:pPr>
        <w:pStyle w:val="15"/>
        <w:snapToGrid w:val="0"/>
        <w:jc w:val="center"/>
        <w:rPr>
          <w:rFonts w:ascii="Arial" w:hAnsi="Arial" w:eastAsia="方正小标宋简体" w:cs="Arial"/>
          <w:color w:val="auto"/>
          <w:sz w:val="72"/>
          <w:szCs w:val="72"/>
        </w:rPr>
      </w:pPr>
    </w:p>
    <w:p w14:paraId="68DFB973">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44C711BC">
      <w:pPr>
        <w:pStyle w:val="15"/>
        <w:snapToGrid w:val="0"/>
        <w:jc w:val="center"/>
        <w:rPr>
          <w:rFonts w:ascii="Arial" w:hAnsi="Arial" w:eastAsia="方正小标宋简体" w:cs="Arial"/>
          <w:color w:val="auto"/>
          <w:sz w:val="72"/>
          <w:szCs w:val="72"/>
        </w:rPr>
      </w:pPr>
    </w:p>
    <w:p w14:paraId="0E3B0247">
      <w:pPr>
        <w:pStyle w:val="1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47183B31">
      <w:pPr>
        <w:pStyle w:val="15"/>
        <w:snapToGrid w:val="0"/>
        <w:jc w:val="center"/>
        <w:rPr>
          <w:rFonts w:ascii="Arial" w:hAnsi="Arial" w:cs="Arial"/>
          <w:color w:val="auto"/>
          <w:sz w:val="32"/>
          <w:szCs w:val="32"/>
        </w:rPr>
      </w:pPr>
    </w:p>
    <w:p w14:paraId="647C011D">
      <w:pPr>
        <w:spacing w:line="360" w:lineRule="auto"/>
        <w:rPr>
          <w:rFonts w:hint="eastAsia"/>
          <w:bCs/>
          <w:color w:val="auto"/>
          <w:sz w:val="32"/>
          <w:szCs w:val="32"/>
        </w:rPr>
      </w:pPr>
    </w:p>
    <w:p w14:paraId="20CE8D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广州医科大学附属第一医院娄底医院人才公寓</w:t>
      </w:r>
      <w:r>
        <w:rPr>
          <w:rFonts w:hint="eastAsia"/>
          <w:bCs/>
          <w:color w:val="auto"/>
          <w:sz w:val="32"/>
          <w:szCs w:val="32"/>
          <w:lang w:eastAsia="zh-CN"/>
        </w:rPr>
        <w:t>网络及电视业务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48334C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74B8E65">
      <w:pPr>
        <w:spacing w:line="320" w:lineRule="exact"/>
        <w:jc w:val="left"/>
        <w:rPr>
          <w:color w:val="auto"/>
          <w:sz w:val="24"/>
        </w:rPr>
      </w:pPr>
    </w:p>
    <w:p w14:paraId="78E8487A">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lang w:eastAsia="zh-CN"/>
        </w:rPr>
        <w:t>年</w:t>
      </w:r>
      <w:r>
        <w:rPr>
          <w:rFonts w:hint="eastAsia" w:ascii="宋体" w:hAnsi="宋体" w:cs="宋体"/>
          <w:bCs/>
          <w:color w:val="auto"/>
          <w:sz w:val="32"/>
          <w:szCs w:val="32"/>
          <w:lang w:val="en-US" w:eastAsia="zh-CN"/>
        </w:rPr>
        <w:t>六</w:t>
      </w:r>
      <w:r>
        <w:rPr>
          <w:rFonts w:hint="eastAsia" w:ascii="宋体" w:hAnsi="宋体" w:cs="宋体"/>
          <w:bCs/>
          <w:color w:val="auto"/>
          <w:sz w:val="32"/>
          <w:szCs w:val="32"/>
          <w:lang w:eastAsia="zh-CN"/>
        </w:rPr>
        <w:t>月</w:t>
      </w:r>
    </w:p>
    <w:p w14:paraId="4EED1D13">
      <w:pPr>
        <w:pStyle w:val="2"/>
        <w:numPr>
          <w:ilvl w:val="0"/>
          <w:numId w:val="0"/>
        </w:numPr>
        <w:spacing w:line="240" w:lineRule="auto"/>
        <w:ind w:leftChars="0"/>
        <w:jc w:val="center"/>
        <w:rPr>
          <w:rFonts w:hint="eastAsia"/>
          <w:b/>
          <w:bCs w:val="0"/>
          <w:color w:val="auto"/>
          <w:sz w:val="44"/>
          <w:szCs w:val="44"/>
        </w:rPr>
      </w:pPr>
      <w:bookmarkStart w:id="4" w:name="_GoBack"/>
      <w:bookmarkEnd w:id="4"/>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C490EA8">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广州医科大学附属第一医院娄底医院</w:t>
      </w:r>
      <w:r>
        <w:rPr>
          <w:rFonts w:hint="eastAsia"/>
          <w:bCs/>
          <w:color w:val="auto"/>
          <w:sz w:val="32"/>
          <w:szCs w:val="32"/>
          <w:lang w:val="en-US" w:eastAsia="zh-CN"/>
        </w:rPr>
        <w:t>人才公寓</w:t>
      </w:r>
      <w:r>
        <w:rPr>
          <w:rFonts w:hint="eastAsia"/>
          <w:bCs/>
          <w:color w:val="auto"/>
          <w:sz w:val="28"/>
          <w:szCs w:val="28"/>
          <w:lang w:val="en-US" w:eastAsia="zh-CN"/>
        </w:rPr>
        <w:t>网络及电视业务进行单一来源采购，现邀请你单位（</w:t>
      </w:r>
      <w:r>
        <w:rPr>
          <w:rFonts w:ascii="仿宋" w:hAnsi="仿宋" w:eastAsia="仿宋" w:cs="仿宋"/>
          <w:i w:val="0"/>
          <w:iCs w:val="0"/>
          <w:caps w:val="0"/>
          <w:color w:val="000000"/>
          <w:spacing w:val="0"/>
          <w:sz w:val="28"/>
          <w:szCs w:val="28"/>
          <w:shd w:val="clear" w:fill="FFFFFF"/>
        </w:rPr>
        <w:t>湖南联通娄底分公司</w:t>
      </w:r>
      <w:r>
        <w:rPr>
          <w:rFonts w:hint="eastAsia"/>
          <w:bCs/>
          <w:color w:val="auto"/>
          <w:sz w:val="28"/>
          <w:szCs w:val="28"/>
          <w:lang w:val="en-US" w:eastAsia="zh-CN"/>
        </w:rPr>
        <w:t>）参加协商。</w:t>
      </w:r>
    </w:p>
    <w:p w14:paraId="50EBD6D7">
      <w:pPr>
        <w:pStyle w:val="1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A183F0F">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32"/>
          <w:szCs w:val="32"/>
          <w:lang w:val="en-US" w:eastAsia="zh-CN"/>
        </w:rPr>
        <w:t>人才公寓</w:t>
      </w:r>
      <w:r>
        <w:rPr>
          <w:rFonts w:hint="eastAsia"/>
          <w:bCs/>
          <w:color w:val="auto"/>
          <w:sz w:val="28"/>
          <w:szCs w:val="28"/>
          <w:lang w:val="en-US" w:eastAsia="zh-CN"/>
        </w:rPr>
        <w:t>网络及电视业务</w:t>
      </w:r>
    </w:p>
    <w:p w14:paraId="6C9463D7">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10251D3">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13F7D631">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671CD86A">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AEC69D">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65CDED71">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364D36B">
      <w:pPr>
        <w:pStyle w:val="1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79B4DB09">
      <w:pPr>
        <w:pStyle w:val="1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015B63C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06AF634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5D10BBEA">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7EE63D7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0F043C0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78020B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1、招标人名称：广州医科大学附属第一医院娄底医院</w:t>
      </w:r>
    </w:p>
    <w:p w14:paraId="6B9F4F8E">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2B11986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3、招标人地址：娄底市长青中街51号</w:t>
      </w:r>
    </w:p>
    <w:p w14:paraId="5C09EE6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5F1BA9F">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889E8D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0340C745">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AA384C7">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52619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07C3F1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918"/>
        <w:gridCol w:w="1924"/>
        <w:gridCol w:w="1924"/>
      </w:tblGrid>
      <w:tr w14:paraId="2BC0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7B3FF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2918" w:type="dxa"/>
            <w:tcBorders>
              <w:top w:val="single" w:color="auto" w:sz="4" w:space="0"/>
              <w:left w:val="single" w:color="auto" w:sz="4" w:space="0"/>
              <w:bottom w:val="single" w:color="auto" w:sz="4" w:space="0"/>
              <w:right w:val="single" w:color="auto" w:sz="4" w:space="0"/>
            </w:tcBorders>
            <w:vAlign w:val="center"/>
          </w:tcPr>
          <w:p w14:paraId="2BAAC37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24" w:type="dxa"/>
            <w:tcBorders>
              <w:top w:val="single" w:color="auto" w:sz="4" w:space="0"/>
              <w:left w:val="single" w:color="auto" w:sz="4" w:space="0"/>
              <w:bottom w:val="single" w:color="auto" w:sz="4" w:space="0"/>
              <w:right w:val="single" w:color="auto" w:sz="4" w:space="0"/>
            </w:tcBorders>
            <w:vAlign w:val="center"/>
          </w:tcPr>
          <w:p w14:paraId="3221E18A">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c>
          <w:tcPr>
            <w:tcW w:w="1924" w:type="dxa"/>
            <w:tcBorders>
              <w:top w:val="single" w:color="auto" w:sz="4" w:space="0"/>
              <w:left w:val="single" w:color="auto" w:sz="4" w:space="0"/>
              <w:bottom w:val="single" w:color="auto" w:sz="4" w:space="0"/>
              <w:right w:val="single" w:color="auto" w:sz="4" w:space="0"/>
            </w:tcBorders>
            <w:vAlign w:val="center"/>
          </w:tcPr>
          <w:p w14:paraId="718858B4">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15C8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E480D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2918" w:type="dxa"/>
            <w:tcBorders>
              <w:top w:val="single" w:color="auto" w:sz="4" w:space="0"/>
              <w:left w:val="single" w:color="auto" w:sz="4" w:space="0"/>
              <w:bottom w:val="single" w:color="auto" w:sz="4" w:space="0"/>
              <w:right w:val="single" w:color="auto" w:sz="4" w:space="0"/>
            </w:tcBorders>
            <w:vAlign w:val="center"/>
          </w:tcPr>
          <w:p w14:paraId="17AEBFC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网络及电视业务</w:t>
            </w:r>
          </w:p>
        </w:tc>
        <w:tc>
          <w:tcPr>
            <w:tcW w:w="1924" w:type="dxa"/>
            <w:tcBorders>
              <w:top w:val="single" w:color="auto" w:sz="4" w:space="0"/>
              <w:left w:val="single" w:color="auto" w:sz="4" w:space="0"/>
              <w:bottom w:val="single" w:color="auto" w:sz="4" w:space="0"/>
              <w:right w:val="single" w:color="auto" w:sz="4" w:space="0"/>
            </w:tcBorders>
            <w:vAlign w:val="center"/>
          </w:tcPr>
          <w:p w14:paraId="7FE088B1">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2.56万元</w:t>
            </w:r>
          </w:p>
        </w:tc>
        <w:tc>
          <w:tcPr>
            <w:tcW w:w="1924" w:type="dxa"/>
            <w:tcBorders>
              <w:top w:val="single" w:color="auto" w:sz="4" w:space="0"/>
              <w:left w:val="single" w:color="auto" w:sz="4" w:space="0"/>
              <w:bottom w:val="single" w:color="auto" w:sz="4" w:space="0"/>
              <w:right w:val="single" w:color="auto" w:sz="4" w:space="0"/>
            </w:tcBorders>
            <w:vAlign w:val="center"/>
          </w:tcPr>
          <w:p w14:paraId="403E96C6">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2年</w:t>
            </w:r>
          </w:p>
        </w:tc>
      </w:tr>
    </w:tbl>
    <w:p w14:paraId="79497DE0">
      <w:pPr>
        <w:spacing w:line="360" w:lineRule="auto"/>
        <w:rPr>
          <w:rFonts w:hint="default" w:ascii="仿宋_GB2312" w:hAnsi="Times New Roman" w:eastAsia="仿宋_GB2312" w:cs="仿宋_GB2312"/>
          <w:bCs/>
          <w:color w:val="auto"/>
          <w:kern w:val="0"/>
          <w:sz w:val="28"/>
          <w:szCs w:val="28"/>
          <w:lang w:val="en-US" w:eastAsia="zh-CN" w:bidi="ar-SA"/>
        </w:rPr>
      </w:pPr>
    </w:p>
    <w:p w14:paraId="4ED38B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5434F0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w:t>
      </w:r>
      <w:r>
        <w:rPr>
          <w:rFonts w:hint="eastAsia" w:ascii="仿宋_GB2312" w:eastAsia="仿宋_GB2312" w:cs="仿宋_GB2312"/>
          <w:bCs/>
          <w:color w:val="auto"/>
          <w:kern w:val="0"/>
          <w:sz w:val="28"/>
          <w:szCs w:val="28"/>
          <w:lang w:val="en-US" w:eastAsia="zh-CN" w:bidi="ar-SA"/>
        </w:rPr>
        <w:t>广州医科大学附属第一医院娄底医院</w:t>
      </w:r>
      <w:r>
        <w:rPr>
          <w:rFonts w:hint="eastAsia" w:ascii="仿宋_GB2312" w:hAnsi="Times New Roman" w:eastAsia="仿宋_GB2312" w:cs="仿宋_GB2312"/>
          <w:bCs/>
          <w:color w:val="auto"/>
          <w:kern w:val="0"/>
          <w:sz w:val="28"/>
          <w:szCs w:val="28"/>
          <w:lang w:val="en-US" w:eastAsia="zh-CN" w:bidi="ar-SA"/>
        </w:rPr>
        <w:t>。</w:t>
      </w:r>
    </w:p>
    <w:p w14:paraId="19B6CD23">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5F0E2E2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乙方为吉祥人才公寓50间房提供网络及电视业务服务，服务期限为贰年，自乙方全部安装调试完毕交付且甲方全部能正常使用之日起开始计算。</w:t>
      </w:r>
    </w:p>
    <w:p w14:paraId="11D9416A">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甲方在服务期限届满之日起30日内，通过银行转账方式向乙方一次性支付全部服务费用。</w:t>
      </w:r>
    </w:p>
    <w:p w14:paraId="3D59C4E8">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中标人自行承担本合同服务中涉及的电视盒子、交换机及其他设备和通信线路接入的费用，服务期限内设备、线路发生损耗、故障均由乙方免费维护更换。</w:t>
      </w:r>
    </w:p>
    <w:p w14:paraId="6FE2E66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乙方自行完成甲方线路施工并保证线路通畅使用，同时负责线路的日常维护。</w:t>
      </w:r>
    </w:p>
    <w:p w14:paraId="2D21CB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r>
        <w:rPr>
          <w:rFonts w:hint="eastAsia" w:ascii="仿宋_GB2312" w:eastAsia="仿宋_GB2312" w:cs="仿宋_GB2312"/>
          <w:bCs/>
          <w:color w:val="auto"/>
          <w:kern w:val="0"/>
          <w:sz w:val="28"/>
          <w:szCs w:val="28"/>
          <w:lang w:val="en-US" w:eastAsia="zh-CN" w:bidi="ar-SA"/>
        </w:rPr>
        <w:t>。</w:t>
      </w:r>
    </w:p>
    <w:p w14:paraId="7E7E74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162EAA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B8243A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174232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6E3AE58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63FCA4B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967BC4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888EA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A3C241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7A03EEBA">
      <w:pPr>
        <w:pStyle w:val="16"/>
        <w:rPr>
          <w:rFonts w:hint="eastAsia" w:ascii="仿宋_GB2312" w:hAnsi="Times New Roman" w:eastAsia="仿宋_GB2312" w:cs="仿宋_GB2312"/>
          <w:bCs/>
          <w:color w:val="auto"/>
          <w:kern w:val="0"/>
          <w:sz w:val="28"/>
          <w:szCs w:val="28"/>
          <w:lang w:val="en-US" w:eastAsia="zh-CN" w:bidi="ar-SA"/>
        </w:rPr>
      </w:pPr>
    </w:p>
    <w:p w14:paraId="6F119294">
      <w:pPr>
        <w:pStyle w:val="1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sz w:val="28"/>
          <w:szCs w:val="28"/>
          <w:lang w:val="en-US" w:eastAsia="zh-CN"/>
        </w:rPr>
      </w:pPr>
      <w:bookmarkStart w:id="1" w:name="_Toc16523574"/>
      <w:r>
        <w:rPr>
          <w:rFonts w:hint="eastAsia" w:ascii="宋体" w:hAnsi="宋体" w:eastAsia="宋体" w:cs="宋体"/>
          <w:color w:val="auto"/>
          <w:sz w:val="28"/>
          <w:szCs w:val="28"/>
          <w:lang w:val="en-US" w:eastAsia="zh-CN"/>
        </w:rPr>
        <w:t xml:space="preserve">                                                      合同</w:t>
      </w:r>
    </w:p>
    <w:p w14:paraId="4AAD29F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7560" w:firstLineChars="2700"/>
        <w:jc w:val="both"/>
        <w:textAlignment w:val="auto"/>
        <w:rPr>
          <w:rFonts w:hint="default" w:ascii="宋体" w:hAnsi="宋体" w:eastAsia="宋体" w:cs="宋体"/>
          <w:snapToGrid/>
          <w:color w:val="000000" w:themeColor="text1"/>
          <w:kern w:val="2"/>
          <w:sz w:val="24"/>
          <w:szCs w:val="24"/>
          <w:lang w:val="en-US" w:eastAsia="zh-CN"/>
          <w14:textFill>
            <w14:solidFill>
              <w14:schemeClr w14:val="tx1"/>
            </w14:solidFill>
          </w14:textFill>
        </w:rPr>
      </w:pPr>
      <w:r>
        <w:rPr>
          <w:rFonts w:hint="eastAsia" w:eastAsia="黑体"/>
          <w:color w:val="auto"/>
          <w:sz w:val="28"/>
          <w:lang w:eastAsia="zh-CN"/>
        </w:rPr>
        <w:t xml:space="preserve">                                         </w:t>
      </w:r>
      <w:r>
        <w:rPr>
          <w:rFonts w:hint="eastAsia" w:eastAsia="黑体"/>
          <w:color w:val="auto"/>
          <w:sz w:val="28"/>
          <w:lang w:val="en-US" w:eastAsia="zh-CN"/>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合同编号：</w:t>
      </w:r>
    </w:p>
    <w:p w14:paraId="36370423">
      <w:pPr>
        <w:keepNext w:val="0"/>
        <w:keepLines w:val="0"/>
        <w:pageBreakBefore w:val="0"/>
        <w:widowControl w:val="0"/>
        <w:wordWrap/>
        <w:overflowPunct/>
        <w:topLinePunct w:val="0"/>
        <w:bidi w:val="0"/>
        <w:spacing w:line="480" w:lineRule="exact"/>
        <w:jc w:val="center"/>
        <w:rPr>
          <w:rFonts w:hint="default" w:ascii="Arial" w:eastAsia="宋体"/>
          <w:color w:val="000000" w:themeColor="text1"/>
          <w:sz w:val="21"/>
          <w:lang w:val="en-US" w:eastAsia="zh-CN"/>
          <w14:textFill>
            <w14:solidFill>
              <w14:schemeClr w14:val="tx1"/>
            </w14:solidFill>
          </w14:textFill>
        </w:rPr>
      </w:pPr>
      <w:r>
        <w:rPr>
          <w:rFonts w:hint="eastAsia" w:ascii="黑体" w:hAnsi="黑体" w:eastAsia="黑体" w:cs="黑体"/>
          <w:color w:val="000000" w:themeColor="text1"/>
          <w:spacing w:val="-1"/>
          <w:sz w:val="32"/>
          <w:szCs w:val="32"/>
          <w:lang w:val="en-US" w:eastAsia="zh-CN"/>
          <w14:textOutline w14:w="5805" w14:cap="flat" w14:cmpd="sng">
            <w14:solidFill>
              <w14:srgbClr w14:val="000000"/>
            </w14:solidFill>
            <w14:prstDash w14:val="solid"/>
            <w14:miter w14:val="0"/>
          </w14:textOutline>
          <w14:textFill>
            <w14:solidFill>
              <w14:schemeClr w14:val="tx1"/>
            </w14:solidFill>
          </w14:textFill>
        </w:rPr>
        <w:t>网络及电视业务服务合同</w:t>
      </w:r>
    </w:p>
    <w:p w14:paraId="39C2768D">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default"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甲方：广州医科大学附属第一医院娄底医院</w:t>
      </w:r>
    </w:p>
    <w:p w14:paraId="65065986">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社会统一信用代码：</w:t>
      </w:r>
    </w:p>
    <w:p w14:paraId="01E04F2F">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 xml:space="preserve">乙方： </w:t>
      </w:r>
    </w:p>
    <w:p w14:paraId="2083D290">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社会统一信用代码： </w:t>
      </w:r>
    </w:p>
    <w:p w14:paraId="56CA3737">
      <w:pPr>
        <w:pStyle w:val="4"/>
        <w:keepNext w:val="0"/>
        <w:keepLines w:val="0"/>
        <w:pageBreakBefore w:val="0"/>
        <w:widowControl w:val="0"/>
        <w:wordWrap/>
        <w:overflowPunct/>
        <w:topLinePunct w:val="0"/>
        <w:bidi w:val="0"/>
        <w:spacing w:line="480" w:lineRule="exact"/>
        <w:ind w:firstLine="420" w:firstLineChars="200"/>
        <w:rPr>
          <w:rFonts w:hint="eastAsia"/>
          <w:color w:val="000000" w:themeColor="text1"/>
          <w:lang w:val="en-US" w:eastAsia="zh-CN"/>
          <w14:textFill>
            <w14:solidFill>
              <w14:schemeClr w14:val="tx1"/>
            </w14:solidFill>
          </w14:textFill>
        </w:rPr>
      </w:pPr>
    </w:p>
    <w:p w14:paraId="7138300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lang w:bidi="ar-SA"/>
          <w14:textFill>
            <w14:solidFill>
              <w14:schemeClr w14:val="tx1"/>
            </w14:solidFill>
          </w14:textFill>
        </w:rPr>
        <w:t>因工作需要，吉祥人才公寓须开通50间房屋的网络及电视业务，</w:t>
      </w:r>
      <w:r>
        <w:rPr>
          <w:rFonts w:ascii="宋体" w:hAnsi="宋体" w:eastAsia="宋体" w:cs="宋体"/>
          <w:color w:val="000000" w:themeColor="text1"/>
          <w:kern w:val="2"/>
          <w:sz w:val="24"/>
          <w:szCs w:val="24"/>
          <w:lang w:bidi="ar-SA"/>
          <w14:textFill>
            <w14:solidFill>
              <w14:schemeClr w14:val="tx1"/>
            </w14:solidFill>
          </w14:textFill>
        </w:rPr>
        <w:t>向乙方</w:t>
      </w:r>
      <w:r>
        <w:rPr>
          <w:rFonts w:hint="eastAsia" w:ascii="宋体" w:hAnsi="宋体" w:eastAsia="宋体" w:cs="宋体"/>
          <w:color w:val="000000" w:themeColor="text1"/>
          <w:kern w:val="2"/>
          <w:sz w:val="24"/>
          <w:szCs w:val="24"/>
          <w:lang w:val="en-US" w:eastAsia="zh-CN" w:bidi="ar-SA"/>
          <w14:textFill>
            <w14:solidFill>
              <w14:schemeClr w14:val="tx1"/>
            </w14:solidFill>
          </w14:textFill>
        </w:rPr>
        <w:t>采</w:t>
      </w:r>
      <w:r>
        <w:rPr>
          <w:rFonts w:ascii="宋体" w:hAnsi="宋体" w:eastAsia="宋体" w:cs="宋体"/>
          <w:color w:val="000000" w:themeColor="text1"/>
          <w:kern w:val="2"/>
          <w:sz w:val="24"/>
          <w:szCs w:val="24"/>
          <w:lang w:bidi="ar-SA"/>
          <w14:textFill>
            <w14:solidFill>
              <w14:schemeClr w14:val="tx1"/>
            </w14:solidFill>
          </w14:textFill>
        </w:rPr>
        <w:t>购</w:t>
      </w:r>
      <w:r>
        <w:rPr>
          <w:rFonts w:ascii="宋体" w:hAnsi="宋体" w:eastAsia="宋体" w:cs="宋体"/>
          <w:color w:val="000000" w:themeColor="text1"/>
          <w:kern w:val="2"/>
          <w:sz w:val="24"/>
          <w:szCs w:val="24"/>
          <w:u w:val="single"/>
          <w:lang w:bidi="ar-SA"/>
          <w14:textFill>
            <w14:solidFill>
              <w14:schemeClr w14:val="tx1"/>
            </w14:solidFill>
          </w14:textFill>
        </w:rPr>
        <w:t>网络及电视业务服务</w:t>
      </w:r>
      <w:r>
        <w:rPr>
          <w:rFonts w:ascii="宋体" w:hAnsi="宋体" w:eastAsia="宋体" w:cs="宋体"/>
          <w:color w:val="000000" w:themeColor="text1"/>
          <w:kern w:val="2"/>
          <w:sz w:val="24"/>
          <w:szCs w:val="24"/>
          <w:lang w:bidi="ar-SA"/>
          <w14:textFill>
            <w14:solidFill>
              <w14:schemeClr w14:val="tx1"/>
            </w14:solidFill>
          </w14:textFill>
        </w:rPr>
        <w:t>。</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现根据《中华人民共和国民法典》及相关法律法规规定，甲乙双方本着互惠互利的原则， 就乙方提供吉祥人才公寓50间房</w:t>
      </w:r>
      <w:r>
        <w:rPr>
          <w:rFonts w:hint="eastAsia" w:ascii="宋体" w:hAnsi="宋体" w:eastAsia="宋体" w:cs="宋体"/>
          <w:snapToGrid/>
          <w:color w:val="000000" w:themeColor="text1"/>
          <w:kern w:val="2"/>
          <w:sz w:val="24"/>
          <w:szCs w:val="24"/>
          <w:u w:val="none"/>
          <w:lang w:val="en-US" w:eastAsia="zh-CN"/>
          <w14:textFill>
            <w14:solidFill>
              <w14:schemeClr w14:val="tx1"/>
            </w14:solidFill>
          </w14:textFill>
        </w:rPr>
        <w:t>屋网络及电视业务服务</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事宜，协商一致，特订立本合同，以资共同遵守。</w:t>
      </w:r>
    </w:p>
    <w:p w14:paraId="13F6224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default"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第一条 服务内容</w:t>
      </w:r>
    </w:p>
    <w:p w14:paraId="0BF606E5">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乙方为吉祥人才公寓</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50</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间房提供网络及电视业务服务，具体内容见甲乙双方书面确认的网络速度、电视频道和频道清单。</w:t>
      </w:r>
    </w:p>
    <w:p w14:paraId="1CDFB7C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第二条 服务期限</w:t>
      </w:r>
    </w:p>
    <w:p w14:paraId="31E66B69">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服务期限为贰年，自乙方全部安装调试完毕交付且甲方全部能正常使用之日起开始计算。</w:t>
      </w:r>
    </w:p>
    <w:p w14:paraId="5CC94477">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第三条 服务费用标准及支付方式</w:t>
      </w:r>
    </w:p>
    <w:p w14:paraId="5C13C0E9">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3.1服务费用标准为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元/房/年，本合同50间房间共计元整（    .00元），该费用已经包含了电视盒子、交换机及其他相关设备使用费、通信线路施工费、数字电视服务费、维修费、税费等所有费用。</w:t>
      </w:r>
    </w:p>
    <w:p w14:paraId="00CDB936">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3.2甲方在服务期限届满之日起30日内，通过银行转账方式向乙方一次性支付全部服务费用。</w:t>
      </w:r>
    </w:p>
    <w:p w14:paraId="2D2CCD6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3.3乙方指定收取服务费用账户：开户银行为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，户名为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 账号为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w:t>
      </w:r>
    </w:p>
    <w:p w14:paraId="5BC71A25">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default"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3.4乙方应在甲方付款前，向甲方提供以乙方名义开具的全额增值税普通发票。如未提供，甲方有权顺延付款期限。</w:t>
      </w:r>
    </w:p>
    <w:p w14:paraId="0A337915">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第四条 售后和维修服务</w:t>
      </w:r>
    </w:p>
    <w:p w14:paraId="663CD585">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4.1 乙方指定24小时售后服务和维修服务热线为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，指定专人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（联系电话</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）作为日常维护的联系人。</w:t>
      </w:r>
    </w:p>
    <w:p w14:paraId="36268C86">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default"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4.2 服务期限内，乙方应自甲方（包括公寓50间房屋使用人）维修电话通知时起15分钟内响应、</w:t>
      </w:r>
      <w:r>
        <w:rPr>
          <w:rFonts w:hint="eastAsia" w:ascii="宋体" w:hAnsi="宋体" w:eastAsia="宋体" w:cs="宋体"/>
          <w:snapToGrid/>
          <w:color w:val="000000" w:themeColor="text1"/>
          <w:kern w:val="2"/>
          <w:sz w:val="24"/>
          <w:szCs w:val="24"/>
          <w:highlight w:val="none"/>
          <w:lang w:val="en-US" w:eastAsia="zh-CN"/>
          <w14:textFill>
            <w14:solidFill>
              <w14:schemeClr w14:val="tx1"/>
            </w14:solidFill>
          </w14:textFill>
        </w:rPr>
        <w:t>4小时内解决。</w:t>
      </w:r>
    </w:p>
    <w:p w14:paraId="60CE7686">
      <w:pPr>
        <w:pStyle w:val="4"/>
        <w:keepNext w:val="0"/>
        <w:keepLines w:val="0"/>
        <w:pageBreakBefore w:val="0"/>
        <w:widowControl w:val="0"/>
        <w:wordWrap/>
        <w:overflowPunct/>
        <w:topLinePunct w:val="0"/>
        <w:bidi w:val="0"/>
        <w:spacing w:line="480" w:lineRule="exact"/>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第五条 甲方的权利与义务</w:t>
      </w:r>
    </w:p>
    <w:p w14:paraId="51278CD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5.1有权获得及时、准确、可靠的服务。</w:t>
      </w:r>
    </w:p>
    <w:p w14:paraId="4E6EA896">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5.2有义务保护乙方投入设备不遗失和不损坏。</w:t>
      </w:r>
    </w:p>
    <w:p w14:paraId="6E0AFC6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5.3甲方开展的所有业务必须遵守国家和信息产业部的相关法律和规定。</w:t>
      </w:r>
    </w:p>
    <w:p w14:paraId="344D9DA4">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第六条 乙方权利及义务</w:t>
      </w:r>
    </w:p>
    <w:p w14:paraId="11C8E0B1">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6.1</w:t>
      </w:r>
      <w:r>
        <w:rPr>
          <w:rFonts w:hint="eastAsia" w:ascii="宋体" w:hAnsi="宋体" w:eastAsia="宋体" w:cs="宋体"/>
          <w:snapToGrid/>
          <w:color w:val="000000" w:themeColor="text1"/>
          <w:kern w:val="2"/>
          <w:sz w:val="24"/>
          <w:szCs w:val="24"/>
          <w:highlight w:val="none"/>
          <w:lang w:val="en-US" w:eastAsia="zh-CN"/>
          <w14:textFill>
            <w14:solidFill>
              <w14:schemeClr w14:val="tx1"/>
            </w14:solidFill>
          </w14:textFill>
        </w:rPr>
        <w:t>乙方自行承担本合同服务中涉及的电视盒子、交换机及其他设备和通信线路接入的费用，</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服务期限内设备、线路发生损耗、故障均由乙方免费维护更换。乙方投入的所有设备及线路的产权均属乙方所有，服务期限届满后，如甲方未再向乙方购买下一年度相关网络及电视业务服务，甲方需配合乙方收回乙方的设备。</w:t>
      </w:r>
    </w:p>
    <w:p w14:paraId="2DD796E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6.2 乙方自行完成甲方线路施工并保证线路通畅使用，同时负责线路的日常维护；乙方在完成线路施工及调试过程中，甲方予以配合。</w:t>
      </w:r>
    </w:p>
    <w:p w14:paraId="1C7201EC">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第七条 设备等所有权和管理权变更</w:t>
      </w:r>
    </w:p>
    <w:p w14:paraId="11D62279">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甲、乙双方应各自保证对其财产、资源的享有合法权利，任何一方在合同期内发生所有权或者管理权的变更，影响本合同的履行，变更一方应在变更前30个工作日内以书面形式通知对方。如变更方未及时通知，所造成的一切损失由变更方承担。</w:t>
      </w:r>
    </w:p>
    <w:p w14:paraId="50C5C834">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第八条 通知与送达</w:t>
      </w:r>
    </w:p>
    <w:p w14:paraId="384C4E87">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8.1</w:t>
      </w:r>
      <w:r>
        <w:rPr>
          <w:rFonts w:hint="default"/>
          <w:color w:val="000000" w:themeColor="text1"/>
          <w:lang w:val="en-US" w:eastAsia="zh-CN"/>
          <w14:textFill>
            <w14:solidFill>
              <w14:schemeClr w14:val="tx1"/>
            </w14:solidFill>
          </w14:textFill>
        </w:rPr>
        <w:t>甲乙双方同意，与本合同有关的任何文书，应以书面方式按照本合同约定发送，书面方式包括手机短信、微信、书面函件、电子邮件等形式。</w:t>
      </w:r>
    </w:p>
    <w:p w14:paraId="5ABC2B3C">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8.2</w:t>
      </w:r>
      <w:r>
        <w:rPr>
          <w:rFonts w:hint="default"/>
          <w:color w:val="000000" w:themeColor="text1"/>
          <w:lang w:val="en-US" w:eastAsia="zh-CN"/>
          <w14:textFill>
            <w14:solidFill>
              <w14:schemeClr w14:val="tx1"/>
            </w14:solidFill>
          </w14:textFill>
        </w:rPr>
        <w:t>双方确认的文书（包括未来可能发生的诉讼或仲裁活动中法院或仲裁机构的送达法律文书）送达地址</w:t>
      </w:r>
      <w:r>
        <w:rPr>
          <w:rFonts w:hint="eastAsia"/>
          <w:color w:val="000000" w:themeColor="text1"/>
          <w:lang w:val="en-US" w:eastAsia="zh-CN"/>
          <w14:textFill>
            <w14:solidFill>
              <w14:schemeClr w14:val="tx1"/>
            </w14:solidFill>
          </w14:textFill>
        </w:rPr>
        <w:t>：</w:t>
      </w:r>
    </w:p>
    <w:p w14:paraId="13ADB4BA">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8.2.1</w:t>
      </w:r>
      <w:r>
        <w:rPr>
          <w:rFonts w:hint="default"/>
          <w:color w:val="000000" w:themeColor="text1"/>
          <w:lang w:val="en-US" w:eastAsia="zh-CN"/>
          <w14:textFill>
            <w14:solidFill>
              <w14:schemeClr w14:val="tx1"/>
            </w14:solidFill>
          </w14:textFill>
        </w:rPr>
        <w:t>甲方的文书送达地址</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，收件人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，联系电话</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 xml:space="preserve">，电子邮箱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p>
    <w:p w14:paraId="7951895D">
      <w:pPr>
        <w:pStyle w:val="4"/>
        <w:keepNext w:val="0"/>
        <w:keepLines w:val="0"/>
        <w:pageBreakBefore w:val="0"/>
        <w:widowControl w:val="0"/>
        <w:wordWrap/>
        <w:overflowPunct/>
        <w:topLinePunct w:val="0"/>
        <w:bidi w:val="0"/>
        <w:spacing w:line="480" w:lineRule="exact"/>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8.2.2</w:t>
      </w:r>
      <w:r>
        <w:rPr>
          <w:rFonts w:hint="default"/>
          <w:color w:val="000000" w:themeColor="text1"/>
          <w:lang w:val="en-US" w:eastAsia="zh-CN"/>
          <w14:textFill>
            <w14:solidFill>
              <w14:schemeClr w14:val="tx1"/>
            </w14:solidFill>
          </w14:textFill>
        </w:rPr>
        <w:t>乙方的文书送达地址</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，收件人</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，联系电话</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 xml:space="preserve">，电子邮箱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p>
    <w:p w14:paraId="7D9AC4F4">
      <w:pPr>
        <w:pStyle w:val="4"/>
        <w:keepNext w:val="0"/>
        <w:keepLines w:val="0"/>
        <w:pageBreakBefore w:val="0"/>
        <w:widowControl w:val="0"/>
        <w:wordWrap/>
        <w:overflowPunct/>
        <w:topLinePunct w:val="0"/>
        <w:bidi w:val="0"/>
        <w:spacing w:line="480" w:lineRule="exact"/>
        <w:ind w:firstLine="420" w:firstLineChars="200"/>
        <w:jc w:val="both"/>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8.3</w:t>
      </w:r>
      <w:r>
        <w:rPr>
          <w:rFonts w:hint="default"/>
          <w:color w:val="000000" w:themeColor="text1"/>
          <w:lang w:val="en-US" w:eastAsia="zh-CN"/>
          <w14:textFill>
            <w14:solidFill>
              <w14:schemeClr w14:val="tx1"/>
            </w14:solidFill>
          </w14:textFill>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136531AC">
      <w:pPr>
        <w:pStyle w:val="4"/>
        <w:keepNext w:val="0"/>
        <w:keepLines w:val="0"/>
        <w:pageBreakBefore w:val="0"/>
        <w:widowControl w:val="0"/>
        <w:wordWrap/>
        <w:overflowPunct/>
        <w:topLinePunct w:val="0"/>
        <w:bidi w:val="0"/>
        <w:spacing w:line="480" w:lineRule="exact"/>
        <w:ind w:firstLine="420" w:firstLineChars="200"/>
        <w:jc w:val="both"/>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8.4</w:t>
      </w:r>
      <w:r>
        <w:rPr>
          <w:rFonts w:hint="default"/>
          <w:color w:val="000000" w:themeColor="text1"/>
          <w:lang w:val="en-US" w:eastAsia="zh-CN"/>
          <w14:textFill>
            <w14:solidFill>
              <w14:schemeClr w14:val="tx1"/>
            </w14:solidFill>
          </w14:textFill>
        </w:rPr>
        <w:t>以上地址和联系方式，任何一方发生变更应在变更之日起</w:t>
      </w:r>
      <w:r>
        <w:rPr>
          <w:rFonts w:hint="eastAsia"/>
          <w:color w:val="000000" w:themeColor="text1"/>
          <w:lang w:val="en-US" w:eastAsia="zh-CN"/>
          <w14:textFill>
            <w14:solidFill>
              <w14:schemeClr w14:val="tx1"/>
            </w14:solidFill>
          </w14:textFill>
        </w:rPr>
        <w:t>3</w:t>
      </w:r>
      <w:r>
        <w:rPr>
          <w:rFonts w:hint="default"/>
          <w:color w:val="000000" w:themeColor="text1"/>
          <w:lang w:val="en-US" w:eastAsia="zh-CN"/>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0465E98F">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default"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第九条 合同解除</w:t>
      </w:r>
    </w:p>
    <w:p w14:paraId="03077716">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highlight w:val="yellow"/>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如乙方未按本合同约定提供网络及电视业务服务，且经甲方书面提出后拒不改正达</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3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次时，甲方有权单方面解除本合同。</w:t>
      </w:r>
    </w:p>
    <w:p w14:paraId="48C6859A">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bidi="ar-SA"/>
          <w14:textFill>
            <w14:solidFill>
              <w14:schemeClr w14:val="tx1"/>
            </w14:solidFill>
          </w14:textFill>
        </w:rPr>
        <w:t xml:space="preserve">第十条 </w:t>
      </w: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违约责任</w:t>
      </w:r>
    </w:p>
    <w:p w14:paraId="51A274B3">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 xml:space="preserve">10.1 </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如乙方未按本合同约定提供网络和电视服务</w:t>
      </w: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，每逾期一日，除应向甲方支付违约金40元外，服务期限予相应顺延。</w:t>
      </w:r>
    </w:p>
    <w:p w14:paraId="181790AA">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480" w:lineRule="exact"/>
        <w:ind w:firstLine="480" w:firstLineChars="200"/>
        <w:jc w:val="both"/>
        <w:textAlignment w:val="baseline"/>
        <w:rPr>
          <w:rFonts w:hint="default"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10.2 如乙方擅自解除合同或因乙方原因导致甲方单方解除合同，乙方须自行承担已投入的设备费、线路费等损失，赔偿甲方由此造成的全部损失（包括但不限于实际经济损失，因纠纷产生的律师费、诉讼费、差旅费等），并按本合同约定服务费用总额的10%向甲方支付违约金。</w:t>
      </w:r>
    </w:p>
    <w:p w14:paraId="0AB91CA8">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snapToGrid/>
          <w:color w:val="000000" w:themeColor="text1"/>
          <w:kern w:val="2"/>
          <w:sz w:val="24"/>
          <w:szCs w:val="24"/>
          <w:lang w:val="en-US" w:eastAsia="zh-CN" w:bidi="ar-SA"/>
          <w14:textFill>
            <w14:solidFill>
              <w14:schemeClr w14:val="tx1"/>
            </w14:solidFill>
          </w14:textFill>
        </w:rPr>
      </w:pPr>
      <w:r>
        <w:rPr>
          <w:rFonts w:hint="eastAsia" w:ascii="宋体" w:hAnsi="宋体" w:eastAsia="宋体" w:cs="宋体"/>
          <w:snapToGrid/>
          <w:color w:val="000000" w:themeColor="text1"/>
          <w:kern w:val="2"/>
          <w:sz w:val="24"/>
          <w:szCs w:val="24"/>
          <w:lang w:val="en-US" w:eastAsia="zh-CN" w:bidi="ar-SA"/>
          <w14:textFill>
            <w14:solidFill>
              <w14:schemeClr w14:val="tx1"/>
            </w14:solidFill>
          </w14:textFill>
        </w:rPr>
        <w:t>10.3 因不可抗力给对方造成损失的，无须承担违约责任，但双方应努力减小因不可抗力造成的影响或损失。不可抗力事件包括自然灾害、政府行为、第三方电路故障等不可抗拒的事件。</w:t>
      </w:r>
    </w:p>
    <w:p w14:paraId="4B13E02A">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第十一条 争议的解决</w:t>
      </w:r>
    </w:p>
    <w:p w14:paraId="052F7E61">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因履行本合同而引起的有关争议，双方应友好协商解决争议；如协商不成，任何一方可向甲方所在地有管辖权的人民法院提起诉讼解决。在诉讼过程中，除双方有争议且正在诉讼部分外，双方应继续履行本合同项下的其他条款。</w:t>
      </w:r>
    </w:p>
    <w:p w14:paraId="5507ECD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2" w:firstLineChars="20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第十二条 附则</w:t>
      </w:r>
    </w:p>
    <w:p w14:paraId="5ADE73B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12.1本合同未尽事宜，双方应另行协商并签订补充协议。</w:t>
      </w:r>
    </w:p>
    <w:p w14:paraId="6A341D55">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12.2 本合同一式陆份，甲方执肆份，乙方执贰份，一方或双方均可选择以电子签名、 加盖电子签章的方式或加盖实体章的方式进行签署，经双方签字并盖章之日起生效，具有同等法律效力。</w:t>
      </w:r>
    </w:p>
    <w:p w14:paraId="323AE57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p>
    <w:p w14:paraId="3DBFADDD">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6239" w:leftChars="228" w:hanging="5760" w:hangingChars="2400"/>
        <w:jc w:val="both"/>
        <w:textAlignment w:val="auto"/>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甲方（盖章）：广州医科大学附</w:t>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属</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 xml:space="preserve">乙方（盖章）： </w:t>
      </w:r>
    </w:p>
    <w:p w14:paraId="0004E8A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840" w:leftChars="0" w:firstLine="420" w:firstLineChars="0"/>
        <w:jc w:val="both"/>
        <w:textAlignment w:val="auto"/>
        <w:rPr>
          <w:rFonts w:hint="default" w:ascii="宋体" w:hAnsi="宋体" w:eastAsia="宋体" w:cs="宋体"/>
          <w:snapToGrid/>
          <w:color w:val="000000" w:themeColor="text1"/>
          <w:spacing w:val="-20"/>
          <w:kern w:val="2"/>
          <w:sz w:val="24"/>
          <w:szCs w:val="24"/>
          <w:lang w:val="en-US" w:eastAsia="zh-CN"/>
          <w14:textFill>
            <w14:solidFill>
              <w14:schemeClr w14:val="tx1"/>
            </w14:solidFill>
          </w14:textFill>
        </w:rPr>
      </w:pP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第一医院娄底医院</w:t>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ab/>
      </w:r>
      <w:r>
        <w:rPr>
          <w:rFonts w:hint="eastAsia" w:ascii="宋体" w:hAnsi="宋体" w:eastAsia="宋体" w:cs="宋体"/>
          <w:snapToGrid/>
          <w:color w:val="000000" w:themeColor="text1"/>
          <w:spacing w:val="-20"/>
          <w:kern w:val="2"/>
          <w:sz w:val="24"/>
          <w:szCs w:val="24"/>
          <w:lang w:val="en-US" w:eastAsia="zh-CN"/>
          <w14:textFill>
            <w14:solidFill>
              <w14:schemeClr w14:val="tx1"/>
            </w14:solidFill>
          </w14:textFill>
        </w:rPr>
        <w:t xml:space="preserve">     </w:t>
      </w:r>
    </w:p>
    <w:p w14:paraId="1C1E2E72">
      <w:pPr>
        <w:pStyle w:val="4"/>
        <w:keepNext w:val="0"/>
        <w:keepLines w:val="0"/>
        <w:pageBreakBefore w:val="0"/>
        <w:widowControl w:val="0"/>
        <w:wordWrap/>
        <w:overflowPunct/>
        <w:topLinePunct w:val="0"/>
        <w:bidi w:val="0"/>
        <w:spacing w:line="480" w:lineRule="exact"/>
        <w:rPr>
          <w:rFonts w:hint="eastAsia"/>
          <w:color w:val="000000" w:themeColor="text1"/>
          <w:lang w:val="en-US" w:eastAsia="zh-CN"/>
          <w14:textFill>
            <w14:solidFill>
              <w14:schemeClr w14:val="tx1"/>
            </w14:solidFill>
          </w14:textFill>
        </w:rPr>
      </w:pPr>
    </w:p>
    <w:p w14:paraId="66B3B5B1">
      <w:pPr>
        <w:pStyle w:val="4"/>
        <w:keepNext w:val="0"/>
        <w:keepLines w:val="0"/>
        <w:pageBreakBefore w:val="0"/>
        <w:widowControl w:val="0"/>
        <w:wordWrap/>
        <w:overflowPunct/>
        <w:topLinePunct w:val="0"/>
        <w:bidi w:val="0"/>
        <w:spacing w:line="480" w:lineRule="exact"/>
        <w:rPr>
          <w:rFonts w:hint="default"/>
          <w:color w:val="000000" w:themeColor="text1"/>
          <w:lang w:val="en-US" w:eastAsia="zh-CN"/>
          <w14:textFill>
            <w14:solidFill>
              <w14:schemeClr w14:val="tx1"/>
            </w14:solidFill>
          </w14:textFill>
        </w:rPr>
      </w:pPr>
    </w:p>
    <w:p w14:paraId="27AC97D1">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法定代表人（签字）：                   法定代表人（签字）：</w:t>
      </w:r>
    </w:p>
    <w:p w14:paraId="34CB45A5">
      <w:pPr>
        <w:pStyle w:val="4"/>
        <w:keepNext w:val="0"/>
        <w:keepLines w:val="0"/>
        <w:pageBreakBefore w:val="0"/>
        <w:widowControl w:val="0"/>
        <w:wordWrap/>
        <w:overflowPunct/>
        <w:topLinePunct w:val="0"/>
        <w:bidi w:val="0"/>
        <w:spacing w:line="480" w:lineRule="exact"/>
        <w:rPr>
          <w:rFonts w:hint="eastAsia"/>
          <w:color w:val="000000" w:themeColor="text1"/>
          <w:lang w:val="en-US" w:eastAsia="zh-CN"/>
          <w14:textFill>
            <w14:solidFill>
              <w14:schemeClr w14:val="tx1"/>
            </w14:solidFill>
          </w14:textFill>
        </w:rPr>
      </w:pPr>
    </w:p>
    <w:p w14:paraId="6BB5035A">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firstLine="480" w:firstLineChars="20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或委托代理人（签字）：                 或委托代理人（签字）：</w:t>
      </w:r>
    </w:p>
    <w:p w14:paraId="5790CB65">
      <w:pPr>
        <w:pStyle w:val="4"/>
        <w:keepNext w:val="0"/>
        <w:keepLines w:val="0"/>
        <w:pageBreakBefore w:val="0"/>
        <w:widowControl w:val="0"/>
        <w:wordWrap/>
        <w:overflowPunct/>
        <w:topLinePunct w:val="0"/>
        <w:bidi w:val="0"/>
        <w:spacing w:line="480" w:lineRule="exact"/>
        <w:rPr>
          <w:rFonts w:hint="default"/>
          <w:color w:val="000000" w:themeColor="text1"/>
          <w:lang w:val="en-US" w:eastAsia="zh-CN"/>
          <w14:textFill>
            <w14:solidFill>
              <w14:schemeClr w14:val="tx1"/>
            </w14:solidFill>
          </w14:textFill>
        </w:rPr>
      </w:pPr>
    </w:p>
    <w:p w14:paraId="1A4E8502">
      <w:pPr>
        <w:keepNext w:val="0"/>
        <w:keepLines w:val="0"/>
        <w:pageBreakBefore w:val="0"/>
        <w:widowControl w:val="0"/>
        <w:wordWrap/>
        <w:overflowPunct/>
        <w:topLinePunct w:val="0"/>
        <w:bidi w:val="0"/>
        <w:spacing w:line="480" w:lineRule="exact"/>
        <w:ind w:firstLine="480" w:firstLineChars="200"/>
        <w:rPr>
          <w:color w:val="000000" w:themeColor="text1"/>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合同签订地、履行地：娄底市娄星区       签订时间：   年   月    日  </w:t>
      </w:r>
    </w:p>
    <w:p w14:paraId="13BF81BA">
      <w:pPr>
        <w:rPr>
          <w:rFonts w:hint="default" w:ascii="宋体" w:hAnsi="宋体" w:eastAsia="宋体" w:cs="宋体"/>
          <w:color w:val="auto"/>
          <w:sz w:val="28"/>
          <w:szCs w:val="28"/>
          <w:lang w:val="en-US" w:eastAsia="zh-CN"/>
        </w:rPr>
      </w:pPr>
    </w:p>
    <w:p w14:paraId="29FEDCE6">
      <w:pPr>
        <w:pStyle w:val="1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z w:val="28"/>
          <w:szCs w:val="28"/>
          <w:lang w:val="en-US" w:eastAsia="zh-CN"/>
        </w:rPr>
      </w:pPr>
    </w:p>
    <w:p w14:paraId="0EA96B95">
      <w:pPr>
        <w:pStyle w:val="1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7004C69D">
      <w:pPr>
        <w:pStyle w:val="1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3C1B445C">
      <w:pPr>
        <w:spacing w:line="420" w:lineRule="exact"/>
        <w:outlineLvl w:val="0"/>
        <w:rPr>
          <w:rFonts w:ascii="仿宋" w:hAnsi="仿宋" w:eastAsia="仿宋" w:cs="仿宋"/>
          <w:color w:val="auto"/>
          <w:sz w:val="28"/>
          <w:szCs w:val="28"/>
        </w:rPr>
      </w:pPr>
    </w:p>
    <w:p w14:paraId="5FBFEDEE">
      <w:pPr>
        <w:spacing w:line="420" w:lineRule="exact"/>
        <w:rPr>
          <w:rFonts w:hint="eastAsia" w:ascii="仿宋" w:hAnsi="仿宋" w:eastAsia="仿宋" w:cs="仿宋"/>
          <w:color w:val="auto"/>
          <w:sz w:val="24"/>
        </w:rPr>
      </w:pPr>
    </w:p>
    <w:p w14:paraId="510E6F51">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53B405F">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1CA7279">
      <w:pPr>
        <w:rPr>
          <w:rFonts w:hint="eastAsia" w:ascii="宋体" w:hAnsi="宋体" w:cs="宋体"/>
          <w:color w:val="auto"/>
        </w:rPr>
      </w:pPr>
    </w:p>
    <w:bookmarkEnd w:id="1"/>
    <w:p w14:paraId="77E9FAF1">
      <w:pPr>
        <w:rPr>
          <w:rFonts w:hint="eastAsia"/>
          <w:color w:val="auto"/>
        </w:rPr>
      </w:pPr>
    </w:p>
    <w:p w14:paraId="5D862081">
      <w:pPr>
        <w:jc w:val="center"/>
        <w:rPr>
          <w:b/>
          <w:color w:val="auto"/>
          <w:sz w:val="24"/>
        </w:rPr>
      </w:pPr>
      <w:r>
        <w:rPr>
          <w:b/>
          <w:color w:val="auto"/>
          <w:sz w:val="28"/>
          <w:szCs w:val="28"/>
        </w:rPr>
        <w:t>第一部分、开标一览表</w:t>
      </w:r>
    </w:p>
    <w:p w14:paraId="66597F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0B4F153C">
      <w:pPr>
        <w:pStyle w:val="17"/>
        <w:rPr>
          <w:color w:val="auto"/>
        </w:rPr>
      </w:pPr>
    </w:p>
    <w:p w14:paraId="5970F5F0">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703D21FA">
      <w:pPr>
        <w:pStyle w:val="16"/>
        <w:rPr>
          <w:rFonts w:hint="eastAsia"/>
          <w:color w:val="auto"/>
          <w:lang w:eastAsia="zh-CN"/>
        </w:rPr>
      </w:pPr>
    </w:p>
    <w:p w14:paraId="14936463">
      <w:pPr>
        <w:adjustRightInd w:val="0"/>
        <w:snapToGrid w:val="0"/>
        <w:spacing w:line="360" w:lineRule="auto"/>
        <w:jc w:val="center"/>
        <w:rPr>
          <w:rFonts w:hint="eastAsia" w:ascii="宋体" w:hAnsi="宋体" w:cs="宋体"/>
          <w:b/>
          <w:color w:val="auto"/>
          <w:sz w:val="24"/>
          <w:szCs w:val="20"/>
        </w:rPr>
      </w:pPr>
    </w:p>
    <w:p w14:paraId="41CC3D6E">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315A190">
      <w:pPr>
        <w:adjustRightInd w:val="0"/>
        <w:snapToGrid w:val="0"/>
        <w:spacing w:line="360" w:lineRule="auto"/>
        <w:rPr>
          <w:rFonts w:hint="eastAsia" w:ascii="宋体" w:hAnsi="宋体" w:cs="宋体"/>
          <w:b/>
          <w:color w:val="auto"/>
          <w:sz w:val="28"/>
          <w:szCs w:val="28"/>
        </w:rPr>
      </w:pPr>
    </w:p>
    <w:p w14:paraId="2509A6A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0C4857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F9DE7B6">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34F6FC2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A40FBE2">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98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D02CD0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444DCD1">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A3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F8CEA9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48A56D4C">
      <w:pPr>
        <w:adjustRightInd w:val="0"/>
        <w:snapToGrid w:val="0"/>
        <w:spacing w:line="360" w:lineRule="auto"/>
        <w:rPr>
          <w:rFonts w:hint="eastAsia" w:ascii="宋体" w:hAnsi="宋体" w:cs="宋体"/>
          <w:color w:val="auto"/>
          <w:sz w:val="24"/>
        </w:rPr>
      </w:pPr>
    </w:p>
    <w:p w14:paraId="25054578">
      <w:pPr>
        <w:adjustRightInd w:val="0"/>
        <w:snapToGrid w:val="0"/>
        <w:spacing w:line="360" w:lineRule="auto"/>
        <w:rPr>
          <w:rFonts w:hint="eastAsia" w:ascii="宋体" w:hAnsi="宋体" w:cs="宋体"/>
          <w:color w:val="auto"/>
          <w:sz w:val="24"/>
        </w:rPr>
      </w:pPr>
    </w:p>
    <w:p w14:paraId="5465B538">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E513E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05D018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681AA5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750829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337B8EB">
      <w:pPr>
        <w:pStyle w:val="16"/>
        <w:rPr>
          <w:rFonts w:hint="eastAsia"/>
          <w:color w:val="auto"/>
          <w:lang w:eastAsia="zh-CN"/>
        </w:rPr>
      </w:pPr>
    </w:p>
    <w:p w14:paraId="63026712">
      <w:pPr>
        <w:spacing w:before="120" w:beforeLines="50" w:after="120" w:afterLines="50" w:line="276" w:lineRule="auto"/>
        <w:jc w:val="center"/>
        <w:rPr>
          <w:b/>
          <w:color w:val="auto"/>
          <w:sz w:val="24"/>
        </w:rPr>
      </w:pPr>
      <w:r>
        <w:rPr>
          <w:b/>
          <w:color w:val="auto"/>
          <w:sz w:val="24"/>
        </w:rPr>
        <w:t>采购需求响应</w:t>
      </w:r>
    </w:p>
    <w:p w14:paraId="491D1811">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B962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7C5CF4D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2FF3354">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93E0F56">
            <w:pPr>
              <w:adjustRightInd w:val="0"/>
              <w:snapToGrid w:val="0"/>
              <w:spacing w:before="50" w:line="360" w:lineRule="auto"/>
              <w:jc w:val="center"/>
              <w:rPr>
                <w:color w:val="auto"/>
              </w:rPr>
            </w:pPr>
            <w:r>
              <w:rPr>
                <w:color w:val="auto"/>
              </w:rPr>
              <w:t>招标文件要求</w:t>
            </w:r>
          </w:p>
        </w:tc>
        <w:tc>
          <w:tcPr>
            <w:tcW w:w="962" w:type="pct"/>
            <w:noWrap w:val="0"/>
            <w:vAlign w:val="top"/>
          </w:tcPr>
          <w:p w14:paraId="3B66E6A6">
            <w:pPr>
              <w:adjustRightInd w:val="0"/>
              <w:snapToGrid w:val="0"/>
              <w:spacing w:before="50" w:line="360" w:lineRule="auto"/>
              <w:jc w:val="center"/>
              <w:rPr>
                <w:color w:val="auto"/>
              </w:rPr>
            </w:pPr>
            <w:r>
              <w:rPr>
                <w:color w:val="auto"/>
              </w:rPr>
              <w:t>投标文件应答</w:t>
            </w:r>
          </w:p>
        </w:tc>
        <w:tc>
          <w:tcPr>
            <w:tcW w:w="905" w:type="pct"/>
            <w:noWrap w:val="0"/>
            <w:vAlign w:val="center"/>
          </w:tcPr>
          <w:p w14:paraId="2DFB8584">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23C649B">
            <w:pPr>
              <w:adjustRightInd w:val="0"/>
              <w:snapToGrid w:val="0"/>
              <w:spacing w:before="50" w:line="360" w:lineRule="auto"/>
              <w:ind w:left="-88" w:leftChars="-42"/>
              <w:jc w:val="center"/>
              <w:rPr>
                <w:color w:val="auto"/>
                <w:szCs w:val="21"/>
              </w:rPr>
            </w:pPr>
            <w:r>
              <w:rPr>
                <w:color w:val="auto"/>
                <w:szCs w:val="21"/>
              </w:rPr>
              <w:t>偏离说明</w:t>
            </w:r>
          </w:p>
        </w:tc>
      </w:tr>
      <w:tr w14:paraId="33159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1B8656">
            <w:pPr>
              <w:adjustRightInd w:val="0"/>
              <w:snapToGrid w:val="0"/>
              <w:spacing w:before="50" w:line="360" w:lineRule="auto"/>
              <w:ind w:left="-88" w:leftChars="-42"/>
              <w:jc w:val="center"/>
              <w:rPr>
                <w:color w:val="auto"/>
                <w:szCs w:val="21"/>
              </w:rPr>
            </w:pPr>
          </w:p>
        </w:tc>
        <w:tc>
          <w:tcPr>
            <w:tcW w:w="1123" w:type="pct"/>
            <w:noWrap w:val="0"/>
            <w:vAlign w:val="center"/>
          </w:tcPr>
          <w:p w14:paraId="7F071BAC">
            <w:pPr>
              <w:adjustRightInd w:val="0"/>
              <w:snapToGrid w:val="0"/>
              <w:spacing w:before="50" w:line="360" w:lineRule="auto"/>
              <w:ind w:left="-88" w:leftChars="-42"/>
              <w:jc w:val="center"/>
              <w:rPr>
                <w:color w:val="auto"/>
                <w:szCs w:val="21"/>
              </w:rPr>
            </w:pPr>
          </w:p>
        </w:tc>
        <w:tc>
          <w:tcPr>
            <w:tcW w:w="1000" w:type="pct"/>
            <w:noWrap w:val="0"/>
            <w:vAlign w:val="center"/>
          </w:tcPr>
          <w:p w14:paraId="13503BDF">
            <w:pPr>
              <w:adjustRightInd w:val="0"/>
              <w:snapToGrid w:val="0"/>
              <w:spacing w:before="50" w:line="360" w:lineRule="auto"/>
              <w:ind w:left="-88" w:leftChars="-42"/>
              <w:jc w:val="center"/>
              <w:rPr>
                <w:color w:val="auto"/>
                <w:szCs w:val="21"/>
              </w:rPr>
            </w:pPr>
          </w:p>
        </w:tc>
        <w:tc>
          <w:tcPr>
            <w:tcW w:w="962" w:type="pct"/>
            <w:noWrap w:val="0"/>
            <w:vAlign w:val="center"/>
          </w:tcPr>
          <w:p w14:paraId="679E2D5C">
            <w:pPr>
              <w:adjustRightInd w:val="0"/>
              <w:snapToGrid w:val="0"/>
              <w:spacing w:before="50" w:line="360" w:lineRule="auto"/>
              <w:ind w:left="-88" w:leftChars="-42"/>
              <w:jc w:val="center"/>
              <w:rPr>
                <w:color w:val="auto"/>
                <w:szCs w:val="21"/>
              </w:rPr>
            </w:pPr>
          </w:p>
        </w:tc>
        <w:tc>
          <w:tcPr>
            <w:tcW w:w="905" w:type="pct"/>
            <w:noWrap w:val="0"/>
            <w:vAlign w:val="center"/>
          </w:tcPr>
          <w:p w14:paraId="4D6EF1D3">
            <w:pPr>
              <w:adjustRightInd w:val="0"/>
              <w:snapToGrid w:val="0"/>
              <w:spacing w:before="50" w:line="360" w:lineRule="auto"/>
              <w:ind w:left="-88" w:leftChars="-42"/>
              <w:jc w:val="center"/>
              <w:rPr>
                <w:color w:val="auto"/>
                <w:szCs w:val="21"/>
              </w:rPr>
            </w:pPr>
          </w:p>
        </w:tc>
        <w:tc>
          <w:tcPr>
            <w:tcW w:w="634" w:type="pct"/>
            <w:noWrap w:val="0"/>
            <w:vAlign w:val="center"/>
          </w:tcPr>
          <w:p w14:paraId="6A5CA19D">
            <w:pPr>
              <w:adjustRightInd w:val="0"/>
              <w:snapToGrid w:val="0"/>
              <w:spacing w:before="50" w:line="360" w:lineRule="auto"/>
              <w:ind w:left="-88" w:leftChars="-42"/>
              <w:jc w:val="center"/>
              <w:rPr>
                <w:color w:val="auto"/>
                <w:szCs w:val="21"/>
              </w:rPr>
            </w:pPr>
          </w:p>
        </w:tc>
      </w:tr>
      <w:tr w14:paraId="7B08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9849A3">
            <w:pPr>
              <w:adjustRightInd w:val="0"/>
              <w:snapToGrid w:val="0"/>
              <w:spacing w:before="50" w:line="360" w:lineRule="auto"/>
              <w:ind w:left="-88" w:leftChars="-42"/>
              <w:jc w:val="center"/>
              <w:rPr>
                <w:color w:val="auto"/>
                <w:szCs w:val="21"/>
              </w:rPr>
            </w:pPr>
          </w:p>
        </w:tc>
        <w:tc>
          <w:tcPr>
            <w:tcW w:w="1123" w:type="pct"/>
            <w:noWrap w:val="0"/>
            <w:vAlign w:val="center"/>
          </w:tcPr>
          <w:p w14:paraId="3558EDD5">
            <w:pPr>
              <w:adjustRightInd w:val="0"/>
              <w:snapToGrid w:val="0"/>
              <w:spacing w:before="50" w:line="360" w:lineRule="auto"/>
              <w:ind w:left="-88" w:leftChars="-42"/>
              <w:jc w:val="center"/>
              <w:rPr>
                <w:color w:val="auto"/>
                <w:szCs w:val="21"/>
              </w:rPr>
            </w:pPr>
          </w:p>
        </w:tc>
        <w:tc>
          <w:tcPr>
            <w:tcW w:w="1000" w:type="pct"/>
            <w:noWrap w:val="0"/>
            <w:vAlign w:val="center"/>
          </w:tcPr>
          <w:p w14:paraId="694A8AEB">
            <w:pPr>
              <w:adjustRightInd w:val="0"/>
              <w:snapToGrid w:val="0"/>
              <w:spacing w:before="50" w:line="360" w:lineRule="auto"/>
              <w:ind w:left="-88" w:leftChars="-42"/>
              <w:jc w:val="center"/>
              <w:rPr>
                <w:color w:val="auto"/>
                <w:szCs w:val="21"/>
              </w:rPr>
            </w:pPr>
          </w:p>
        </w:tc>
        <w:tc>
          <w:tcPr>
            <w:tcW w:w="962" w:type="pct"/>
            <w:noWrap w:val="0"/>
            <w:vAlign w:val="center"/>
          </w:tcPr>
          <w:p w14:paraId="2A87F188">
            <w:pPr>
              <w:adjustRightInd w:val="0"/>
              <w:snapToGrid w:val="0"/>
              <w:spacing w:before="50" w:line="360" w:lineRule="auto"/>
              <w:ind w:left="-88" w:leftChars="-42"/>
              <w:jc w:val="center"/>
              <w:rPr>
                <w:color w:val="auto"/>
                <w:szCs w:val="21"/>
              </w:rPr>
            </w:pPr>
          </w:p>
        </w:tc>
        <w:tc>
          <w:tcPr>
            <w:tcW w:w="905" w:type="pct"/>
            <w:noWrap w:val="0"/>
            <w:vAlign w:val="center"/>
          </w:tcPr>
          <w:p w14:paraId="5EB7431D">
            <w:pPr>
              <w:adjustRightInd w:val="0"/>
              <w:snapToGrid w:val="0"/>
              <w:spacing w:before="50" w:line="360" w:lineRule="auto"/>
              <w:ind w:left="-88" w:leftChars="-42"/>
              <w:jc w:val="center"/>
              <w:rPr>
                <w:color w:val="auto"/>
                <w:szCs w:val="21"/>
              </w:rPr>
            </w:pPr>
          </w:p>
        </w:tc>
        <w:tc>
          <w:tcPr>
            <w:tcW w:w="634" w:type="pct"/>
            <w:noWrap w:val="0"/>
            <w:vAlign w:val="center"/>
          </w:tcPr>
          <w:p w14:paraId="77859E8C">
            <w:pPr>
              <w:adjustRightInd w:val="0"/>
              <w:snapToGrid w:val="0"/>
              <w:spacing w:before="50" w:line="360" w:lineRule="auto"/>
              <w:ind w:left="-88" w:leftChars="-42"/>
              <w:jc w:val="center"/>
              <w:rPr>
                <w:color w:val="auto"/>
                <w:szCs w:val="21"/>
              </w:rPr>
            </w:pPr>
          </w:p>
        </w:tc>
      </w:tr>
      <w:tr w14:paraId="48DD3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405E158">
            <w:pPr>
              <w:adjustRightInd w:val="0"/>
              <w:snapToGrid w:val="0"/>
              <w:spacing w:before="50" w:line="360" w:lineRule="auto"/>
              <w:ind w:left="-88" w:leftChars="-42"/>
              <w:jc w:val="center"/>
              <w:rPr>
                <w:color w:val="auto"/>
                <w:szCs w:val="21"/>
              </w:rPr>
            </w:pPr>
          </w:p>
        </w:tc>
        <w:tc>
          <w:tcPr>
            <w:tcW w:w="1123" w:type="pct"/>
            <w:noWrap w:val="0"/>
            <w:vAlign w:val="center"/>
          </w:tcPr>
          <w:p w14:paraId="50934876">
            <w:pPr>
              <w:adjustRightInd w:val="0"/>
              <w:snapToGrid w:val="0"/>
              <w:spacing w:before="50" w:line="360" w:lineRule="auto"/>
              <w:ind w:left="-88" w:leftChars="-42"/>
              <w:jc w:val="center"/>
              <w:rPr>
                <w:color w:val="auto"/>
                <w:szCs w:val="21"/>
              </w:rPr>
            </w:pPr>
          </w:p>
        </w:tc>
        <w:tc>
          <w:tcPr>
            <w:tcW w:w="1000" w:type="pct"/>
            <w:noWrap w:val="0"/>
            <w:vAlign w:val="center"/>
          </w:tcPr>
          <w:p w14:paraId="57DF41CC">
            <w:pPr>
              <w:adjustRightInd w:val="0"/>
              <w:snapToGrid w:val="0"/>
              <w:spacing w:before="50" w:line="360" w:lineRule="auto"/>
              <w:ind w:left="-88" w:leftChars="-42"/>
              <w:jc w:val="center"/>
              <w:rPr>
                <w:color w:val="auto"/>
                <w:szCs w:val="21"/>
              </w:rPr>
            </w:pPr>
          </w:p>
        </w:tc>
        <w:tc>
          <w:tcPr>
            <w:tcW w:w="962" w:type="pct"/>
            <w:noWrap w:val="0"/>
            <w:vAlign w:val="center"/>
          </w:tcPr>
          <w:p w14:paraId="3CD87D67">
            <w:pPr>
              <w:adjustRightInd w:val="0"/>
              <w:snapToGrid w:val="0"/>
              <w:spacing w:before="50" w:line="360" w:lineRule="auto"/>
              <w:ind w:left="-88" w:leftChars="-42"/>
              <w:jc w:val="center"/>
              <w:rPr>
                <w:color w:val="auto"/>
                <w:szCs w:val="21"/>
              </w:rPr>
            </w:pPr>
          </w:p>
        </w:tc>
        <w:tc>
          <w:tcPr>
            <w:tcW w:w="905" w:type="pct"/>
            <w:noWrap w:val="0"/>
            <w:vAlign w:val="center"/>
          </w:tcPr>
          <w:p w14:paraId="6E10CB4E">
            <w:pPr>
              <w:adjustRightInd w:val="0"/>
              <w:snapToGrid w:val="0"/>
              <w:spacing w:before="50" w:line="360" w:lineRule="auto"/>
              <w:ind w:left="-88" w:leftChars="-42"/>
              <w:jc w:val="center"/>
              <w:rPr>
                <w:color w:val="auto"/>
                <w:szCs w:val="21"/>
              </w:rPr>
            </w:pPr>
          </w:p>
        </w:tc>
        <w:tc>
          <w:tcPr>
            <w:tcW w:w="634" w:type="pct"/>
            <w:noWrap w:val="0"/>
            <w:vAlign w:val="center"/>
          </w:tcPr>
          <w:p w14:paraId="661FDB6E">
            <w:pPr>
              <w:adjustRightInd w:val="0"/>
              <w:snapToGrid w:val="0"/>
              <w:spacing w:before="50" w:line="360" w:lineRule="auto"/>
              <w:ind w:left="-88" w:leftChars="-42"/>
              <w:jc w:val="center"/>
              <w:rPr>
                <w:color w:val="auto"/>
                <w:szCs w:val="21"/>
              </w:rPr>
            </w:pPr>
          </w:p>
        </w:tc>
      </w:tr>
      <w:tr w14:paraId="63886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19FEF56">
            <w:pPr>
              <w:rPr>
                <w:b/>
                <w:color w:val="auto"/>
              </w:rPr>
            </w:pPr>
            <w:r>
              <w:rPr>
                <w:b/>
                <w:color w:val="auto"/>
              </w:rPr>
              <w:t>投标人保证：我单位对招标文件的其他采购需求条款完全响应，无偏离。</w:t>
            </w:r>
          </w:p>
        </w:tc>
      </w:tr>
    </w:tbl>
    <w:p w14:paraId="376B2519">
      <w:pPr>
        <w:adjustRightInd w:val="0"/>
        <w:snapToGrid w:val="0"/>
        <w:spacing w:before="50" w:line="360" w:lineRule="auto"/>
        <w:ind w:left="-88" w:leftChars="-42"/>
        <w:rPr>
          <w:color w:val="auto"/>
          <w:sz w:val="24"/>
        </w:rPr>
      </w:pPr>
      <w:r>
        <w:rPr>
          <w:b/>
          <w:color w:val="auto"/>
          <w:sz w:val="24"/>
        </w:rPr>
        <w:t>备注</w:t>
      </w:r>
      <w:r>
        <w:rPr>
          <w:color w:val="auto"/>
          <w:sz w:val="24"/>
        </w:rPr>
        <w:t>：</w:t>
      </w:r>
    </w:p>
    <w:p w14:paraId="27BFA88B">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0B4CF7C">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3610C1F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15F6B5D7">
      <w:pPr>
        <w:rPr>
          <w:color w:val="auto"/>
        </w:rPr>
      </w:pPr>
    </w:p>
    <w:p w14:paraId="11F55F47">
      <w:pPr>
        <w:rPr>
          <w:color w:val="auto"/>
        </w:rPr>
      </w:pPr>
    </w:p>
    <w:p w14:paraId="4CB7BCD0">
      <w:pPr>
        <w:rPr>
          <w:color w:val="auto"/>
        </w:rPr>
      </w:pPr>
    </w:p>
    <w:p w14:paraId="3013C3C9">
      <w:pPr>
        <w:rPr>
          <w:color w:val="auto"/>
        </w:rPr>
      </w:pPr>
    </w:p>
    <w:p w14:paraId="2E11CD2C">
      <w:pPr>
        <w:rPr>
          <w:color w:val="auto"/>
        </w:rPr>
      </w:pPr>
    </w:p>
    <w:p w14:paraId="1B9940EC">
      <w:pPr>
        <w:rPr>
          <w:color w:val="auto"/>
        </w:rPr>
      </w:pPr>
    </w:p>
    <w:p w14:paraId="0F69ECBF">
      <w:pPr>
        <w:rPr>
          <w:color w:val="auto"/>
        </w:rPr>
      </w:pPr>
    </w:p>
    <w:p w14:paraId="6C127305"/>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50C45AD-3B91-4FF6-A514-0E5555A43153}"/>
  </w:font>
  <w:font w:name="黑体">
    <w:panose1 w:val="02010609060101010101"/>
    <w:charset w:val="86"/>
    <w:family w:val="auto"/>
    <w:pitch w:val="default"/>
    <w:sig w:usb0="800002BF" w:usb1="38CF7CFA" w:usb2="00000016" w:usb3="00000000" w:csb0="00040001" w:csb1="00000000"/>
    <w:embedRegular r:id="rId2" w:fontKey="{EAA7CACE-AF86-4271-A685-FCAB747C61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9692C52B-7184-455C-9F47-C526AE3F81C8}"/>
  </w:font>
  <w:font w:name="仿宋">
    <w:panose1 w:val="02010609060101010101"/>
    <w:charset w:val="86"/>
    <w:family w:val="auto"/>
    <w:pitch w:val="default"/>
    <w:sig w:usb0="800002BF" w:usb1="38CF7CFA" w:usb2="00000016" w:usb3="00000000" w:csb0="00040001" w:csb1="00000000"/>
    <w:embedRegular r:id="rId4" w:fontKey="{EA604175-1F49-4F61-890B-BABBF8113D25}"/>
  </w:font>
  <w:font w:name="方正小标宋简体">
    <w:panose1 w:val="02000000000000000000"/>
    <w:charset w:val="86"/>
    <w:family w:val="auto"/>
    <w:pitch w:val="default"/>
    <w:sig w:usb0="00000001" w:usb1="08000000" w:usb2="00000000" w:usb3="00000000" w:csb0="00040000" w:csb1="00000000"/>
    <w:embedRegular r:id="rId5" w:fontKey="{49AF64B6-27C6-4214-B739-B68AD73C90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34A9">
    <w:pPr>
      <w:pStyle w:val="8"/>
      <w:rPr>
        <w:rFonts w:hint="eastAsia" w:ascii="仿宋_GB2312" w:eastAsia="仿宋_GB2312"/>
        <w:bCs/>
        <w:u w:val="single"/>
      </w:rPr>
    </w:pPr>
    <w:r>
      <w:rPr>
        <w:rFonts w:hint="eastAsia" w:ascii="仿宋_GB2312" w:eastAsia="仿宋_GB2312"/>
        <w:bCs/>
        <w:u w:val="single"/>
      </w:rPr>
      <w:t xml:space="preserve">                                                                                                 </w:t>
    </w:r>
  </w:p>
  <w:p w14:paraId="5A5FC963">
    <w:pPr>
      <w:adjustRightInd w:val="0"/>
      <w:snapToGrid w:val="0"/>
      <w:spacing w:line="260" w:lineRule="atLeast"/>
      <w:ind w:left="482" w:hanging="482"/>
      <w:rPr>
        <w:rFonts w:hint="eastAsia" w:ascii="宋体" w:hAnsi="宋体"/>
        <w:kern w:val="0"/>
        <w:sz w:val="18"/>
        <w:szCs w:val="21"/>
      </w:rPr>
    </w:pPr>
  </w:p>
  <w:p w14:paraId="23F24BC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9FE0">
    <w:pPr>
      <w:pStyle w:val="8"/>
      <w:rPr>
        <w:rFonts w:hint="eastAsia" w:ascii="仿宋_GB2312" w:eastAsia="仿宋_GB2312"/>
        <w:bCs/>
        <w:u w:val="single"/>
      </w:rPr>
    </w:pPr>
    <w:r>
      <w:rPr>
        <w:rFonts w:hint="eastAsia" w:ascii="仿宋_GB2312" w:eastAsia="仿宋_GB2312"/>
        <w:bCs/>
        <w:u w:val="single"/>
      </w:rPr>
      <w:t xml:space="preserve">                                                                                                 </w:t>
    </w:r>
  </w:p>
  <w:p w14:paraId="778A187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EBB">
    <w:pPr>
      <w:pStyle w:val="9"/>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12743"/>
    <w:rsid w:val="05C313AC"/>
    <w:rsid w:val="0D752A3D"/>
    <w:rsid w:val="2C212804"/>
    <w:rsid w:val="3D007333"/>
    <w:rsid w:val="3FA550A3"/>
    <w:rsid w:val="474B4782"/>
    <w:rsid w:val="73412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0"/>
      <w:szCs w:val="20"/>
    </w:rPr>
  </w:style>
  <w:style w:type="paragraph" w:styleId="4">
    <w:name w:val="Body Text"/>
    <w:basedOn w:val="1"/>
    <w:unhideWhenUsed/>
    <w:qFormat/>
    <w:uiPriority w:val="0"/>
    <w:pPr>
      <w:spacing w:after="120"/>
    </w:pPr>
  </w:style>
  <w:style w:type="paragraph" w:styleId="5">
    <w:name w:val="Body Text Indent"/>
    <w:basedOn w:val="1"/>
    <w:next w:val="6"/>
    <w:qFormat/>
    <w:uiPriority w:val="0"/>
    <w:pPr>
      <w:spacing w:after="120" w:line="400" w:lineRule="exact"/>
      <w:ind w:left="420" w:leftChars="200"/>
    </w:pPr>
    <w:rPr>
      <w:rFonts w:ascii="Calibri" w:hAnsi="Calibri"/>
    </w:rPr>
  </w:style>
  <w:style w:type="paragraph" w:styleId="6">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5"/>
    <w:next w:val="3"/>
    <w:qFormat/>
    <w:uiPriority w:val="0"/>
    <w:pPr>
      <w:autoSpaceDE w:val="0"/>
      <w:autoSpaceDN w:val="0"/>
      <w:adjustRightInd w:val="0"/>
      <w:ind w:firstLine="420"/>
      <w:jc w:val="left"/>
    </w:pPr>
    <w:rPr>
      <w:kern w:val="0"/>
    </w:rPr>
  </w:style>
  <w:style w:type="paragraph" w:customStyle="1" w:styleId="1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列出段落1"/>
    <w:basedOn w:val="1"/>
    <w:autoRedefine/>
    <w:qFormat/>
    <w:uiPriority w:val="99"/>
    <w:pPr>
      <w:ind w:firstLine="420" w:firstLineChars="200"/>
    </w:pPr>
  </w:style>
  <w:style w:type="paragraph" w:customStyle="1" w:styleId="17">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3667</Words>
  <Characters>3785</Characters>
  <Lines>0</Lines>
  <Paragraphs>0</Paragraphs>
  <TotalTime>11</TotalTime>
  <ScaleCrop>false</ScaleCrop>
  <LinksUpToDate>false</LinksUpToDate>
  <CharactersWithSpaces>4216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2025-06-24T02:06:00Z</dcterms:created>
  <dc:creator>胡涛</dc:creator>
  <cp:lastModifiedBy>胡涛</cp:lastModifiedBy>
  <dcterms:modified xsi:type="dcterms:W3CDTF">2025-06-25T09:10:23Z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198F69F2019F4565AEFA67B62CC17F34_11</vt:lpwstr>
  </property>
  <property fmtid="{D5CDD505-2E9C-101B-9397-08002B2CF9AE}" pid="4" name="KSOTemplateDocerSaveRecord">
    <vt:lpwstr>eyJoZGlkIjoiYzMwMzM2OTUxOTFiM2RiNWQ0YWU2YTg5Y2EwODRiZDUiLCJ1c2VySWQiOiIyNjQ2NDY0ODUifQ==</vt:lpwstr>
  </property>
</Properties>
</file>