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C4BA0F">
      <w:pPr>
        <w:widowControl/>
        <w:spacing w:line="360" w:lineRule="auto"/>
        <w:jc w:val="center"/>
        <w:rPr>
          <w:rFonts w:hint="eastAsia" w:ascii="Times New Roman" w:hAnsi="Times New Roman" w:eastAsia="宋体" w:cs="Times New Roman"/>
          <w:b/>
          <w:bCs/>
          <w:color w:val="auto"/>
          <w:kern w:val="0"/>
          <w:sz w:val="36"/>
          <w:szCs w:val="36"/>
          <w:highlight w:val="none"/>
          <w:lang w:val="en-US" w:eastAsia="zh-CN" w:bidi="ar"/>
        </w:rPr>
      </w:pPr>
      <w:r>
        <w:rPr>
          <w:rFonts w:hint="eastAsia" w:ascii="Times New Roman" w:hAnsi="Times New Roman" w:eastAsia="宋体" w:cs="Times New Roman"/>
          <w:b/>
          <w:bCs/>
          <w:color w:val="auto"/>
          <w:kern w:val="0"/>
          <w:sz w:val="36"/>
          <w:szCs w:val="36"/>
          <w:highlight w:val="none"/>
          <w:lang w:val="en-US" w:eastAsia="zh-CN" w:bidi="ar"/>
        </w:rPr>
        <w:t>抢救车</w:t>
      </w:r>
      <w:r>
        <w:rPr>
          <w:rFonts w:hint="eastAsia" w:cs="Times New Roman"/>
          <w:b/>
          <w:bCs/>
          <w:color w:val="auto"/>
          <w:kern w:val="0"/>
          <w:sz w:val="36"/>
          <w:szCs w:val="36"/>
          <w:highlight w:val="none"/>
          <w:lang w:val="en-US" w:eastAsia="zh-CN" w:bidi="ar"/>
        </w:rPr>
        <w:t>招标参数</w:t>
      </w:r>
      <w:r>
        <w:rPr>
          <w:rFonts w:hint="eastAsia" w:ascii="Times New Roman" w:hAnsi="Times New Roman" w:eastAsia="宋体" w:cs="Times New Roman"/>
          <w:b/>
          <w:bCs/>
          <w:color w:val="auto"/>
          <w:kern w:val="0"/>
          <w:sz w:val="36"/>
          <w:szCs w:val="36"/>
          <w:highlight w:val="none"/>
          <w:lang w:val="en-US" w:eastAsia="zh-CN" w:bidi="ar"/>
        </w:rPr>
        <w:t>（1辆）</w:t>
      </w:r>
    </w:p>
    <w:p w14:paraId="186D5CED">
      <w:pPr>
        <w:pStyle w:val="2"/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 w:cs="Times New Roman"/>
          <w:b/>
          <w:bCs/>
          <w:color w:val="auto"/>
          <w:kern w:val="0"/>
          <w:sz w:val="36"/>
          <w:szCs w:val="36"/>
          <w:highlight w:val="none"/>
          <w:lang w:val="en-US" w:eastAsia="zh-CN" w:bidi="ar"/>
        </w:rPr>
        <w:t>一、技术参数</w:t>
      </w:r>
    </w:p>
    <w:p w14:paraId="33F87626">
      <w:pPr>
        <w:pStyle w:val="2"/>
        <w:numPr>
          <w:ilvl w:val="0"/>
          <w:numId w:val="0"/>
        </w:numPr>
        <w:ind w:leftChars="0"/>
        <w:rPr>
          <w:rFonts w:hint="default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default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1、尺寸:≥650x400x900mm</w:t>
      </w:r>
    </w:p>
    <w:p w14:paraId="5E759493">
      <w:pPr>
        <w:pStyle w:val="2"/>
        <w:numPr>
          <w:ilvl w:val="0"/>
          <w:numId w:val="0"/>
        </w:numPr>
        <w:ind w:leftChars="0"/>
        <w:rPr>
          <w:rFonts w:hint="default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default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2、材质:整车采用优质材质≥ 1.0mm 厚不锈钢管及不锈钢板制作;</w:t>
      </w:r>
    </w:p>
    <w:p w14:paraId="3A99FCC2">
      <w:pPr>
        <w:pStyle w:val="2"/>
        <w:numPr>
          <w:ilvl w:val="0"/>
          <w:numId w:val="0"/>
        </w:numPr>
        <w:ind w:leftChars="0"/>
        <w:rPr>
          <w:rFonts w:hint="default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default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3、结构:不锈钢抢救车顶层为左右推拉式，向两侧拉开，四面栏杆，高≥50mm高，防止台面物品滑落。正面带双抽屉和1个双层柜子，柜内配层板，柜门带锁。</w:t>
      </w:r>
    </w:p>
    <w:p w14:paraId="2548688F">
      <w:pPr>
        <w:pStyle w:val="2"/>
        <w:numPr>
          <w:ilvl w:val="0"/>
          <w:numId w:val="0"/>
        </w:numPr>
        <w:ind w:leftChars="0"/>
        <w:rPr>
          <w:rFonts w:hint="default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default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4、脚轮:脚轮采用4寸防滑轮，方便灵活，对角装刹车，刹车稳定耐磨。</w:t>
      </w:r>
    </w:p>
    <w:p w14:paraId="182CCB76">
      <w:r>
        <w:drawing>
          <wp:inline distT="0" distB="0" distL="114300" distR="114300">
            <wp:extent cx="3306445" cy="3352165"/>
            <wp:effectExtent l="0" t="0" r="8255" b="6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306445" cy="3352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24E863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cs="Times New Roman"/>
          <w:b/>
          <w:bCs/>
          <w:kern w:val="2"/>
          <w:sz w:val="32"/>
          <w:szCs w:val="32"/>
          <w:vertAlign w:val="baseline"/>
          <w:lang w:val="en-US" w:eastAsia="zh-CN" w:bidi="ar-SA"/>
        </w:rPr>
      </w:pPr>
      <w:r>
        <w:rPr>
          <w:rFonts w:hint="eastAsia" w:cs="Times New Roman"/>
          <w:b/>
          <w:bCs/>
          <w:kern w:val="2"/>
          <w:sz w:val="32"/>
          <w:szCs w:val="32"/>
          <w:vertAlign w:val="baseline"/>
          <w:lang w:val="en-US" w:eastAsia="zh-CN" w:bidi="ar-SA"/>
        </w:rPr>
        <w:t>二、商务参数</w:t>
      </w:r>
    </w:p>
    <w:p w14:paraId="0E0894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★1、运输、装卸、培训、安装调试：由中标人负责承担，最终通过使用科室、设备科及相关部门确认验收交付使用。国产设备交付，设备必须为6个月内生产的产品；进口设备交付，设备必须为一年内生产的产品。</w:t>
      </w:r>
    </w:p>
    <w:p w14:paraId="0EFF15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★2、交货时间：按合同约定的日期交货。</w:t>
      </w:r>
    </w:p>
    <w:p w14:paraId="7A82BB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★3、交货地点：娄底市中心医院指定地点。</w:t>
      </w:r>
    </w:p>
    <w:p w14:paraId="5750EC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★4、付款方式：设备验收合格后，供应商将发票交到娄底市中心医院后按程序支付货款90%（按医院财务制度一般情况下4个月内支付、特殊情况下最多不超过6个月），甲方在设备验收合格满1年后支付10%余款给乙方。</w:t>
      </w:r>
    </w:p>
    <w:p w14:paraId="49FEBC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★5、质保与售后：整机保修1年，终身维修。验收时出具原厂售后质保承诺书，质保期内每年巡检一次，并提交巡检记录。质保期内出现故障，1小时响应，响应后24小时上门服务。</w:t>
      </w:r>
    </w:p>
    <w:p w14:paraId="4C69FD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★6、在投标文件中必须提供相关佐证资料（加盖投标人公章的技术参数、技术白皮书、说明书、彩页），并在响应表中备注该条参数响应或正偏离的佐证资料所在页码。</w:t>
      </w:r>
    </w:p>
    <w:p w14:paraId="081BDD58">
      <w:pPr>
        <w:pStyle w:val="2"/>
        <w:ind w:left="0" w:leftChars="0" w:firstLine="0" w:firstLineChars="0"/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E234740"/>
    <w:rsid w:val="526258DB"/>
    <w:rsid w:val="59C37742"/>
    <w:rsid w:val="6ACB1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2025-09-07T09:06:15Z</dcterms:created>
  <dc:creator>张星</dc:creator>
  <cp:lastModifiedBy>蓝色贝雷</cp:lastModifiedBy>
  <dcterms:modified xsi:type="dcterms:W3CDTF">2025-09-07T09:13:47Z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eyJoZGlkIjoiZTQ4ODQwNThiYTg4YTBlNDhkZDRmNGNiNWM5NWE1YzAiLCJ1c2VySWQiOiIzNzg5NDc3MzEifQ==</vt:lpwstr>
  </property>
  <property fmtid="{D5CDD505-2E9C-101B-9397-08002B2CF9AE}" pid="4" name="ICV">
    <vt:lpwstr>BD2A616C2117421AAD113A970B5F4CCD_12</vt:lpwstr>
  </property>
</Properties>
</file>