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BAAAB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冰箱招标参数</w:t>
      </w:r>
    </w:p>
    <w:p w14:paraId="375EBB8D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一、技术参数</w:t>
      </w:r>
    </w:p>
    <w:p w14:paraId="23B70B0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default"/>
          <w:lang w:val="en-US" w:eastAsia="zh-CN"/>
        </w:rPr>
        <w:t xml:space="preserve">容量：≥251升  </w:t>
      </w:r>
    </w:p>
    <w:p w14:paraId="04B2EEF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 xml:space="preserve">开门数：三门  </w:t>
      </w:r>
    </w:p>
    <w:p w14:paraId="06C65F5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default"/>
          <w:lang w:val="en-US" w:eastAsia="zh-CN"/>
        </w:rPr>
        <w:t xml:space="preserve">分区数量：冷藏≥129L 冷冻≥ 78L 变温 ≥44L </w:t>
      </w:r>
    </w:p>
    <w:p w14:paraId="0BB298B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default"/>
          <w:lang w:val="en-US" w:eastAsia="zh-CN"/>
        </w:rPr>
        <w:t xml:space="preserve">制冷方式：风冷 </w:t>
      </w:r>
    </w:p>
    <w:p w14:paraId="0DB4E8A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default"/>
          <w:lang w:val="en-US" w:eastAsia="zh-CN"/>
        </w:rPr>
        <w:t xml:space="preserve">能效等级： </w:t>
      </w:r>
      <w:r>
        <w:rPr>
          <w:rFonts w:hint="eastAsia"/>
          <w:lang w:val="en-US" w:eastAsia="zh-CN"/>
        </w:rPr>
        <w:t>不低于</w:t>
      </w:r>
      <w:r>
        <w:rPr>
          <w:rFonts w:hint="default"/>
          <w:lang w:val="en-US" w:eastAsia="zh-CN"/>
        </w:rPr>
        <w:t xml:space="preserve">二级能效 </w:t>
      </w:r>
    </w:p>
    <w:p w14:paraId="764A599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6、</w:t>
      </w:r>
      <w:r>
        <w:rPr>
          <w:rFonts w:hint="default"/>
          <w:lang w:val="en-US" w:eastAsia="zh-CN"/>
        </w:rPr>
        <w:t>外形尺寸：580×675×1730mm ±</w:t>
      </w:r>
      <w:r>
        <w:rPr>
          <w:rFonts w:hint="eastAsia"/>
          <w:lang w:val="en-US" w:eastAsia="zh-CN"/>
        </w:rPr>
        <w:t>5mm</w:t>
      </w:r>
      <w:r>
        <w:rPr>
          <w:rFonts w:hint="default"/>
          <w:lang w:val="en-US" w:eastAsia="zh-CN"/>
        </w:rPr>
        <w:t xml:space="preserve">   </w:t>
      </w:r>
    </w:p>
    <w:p w14:paraId="509CA9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</w:t>
      </w:r>
    </w:p>
    <w:p w14:paraId="39B8001C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二、商务参数</w:t>
      </w:r>
    </w:p>
    <w:p w14:paraId="460E5E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71A36EA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★2、交货时间：按合同约定的日期交货。</w:t>
      </w:r>
    </w:p>
    <w:p w14:paraId="2E8184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★3、交货地点：娄底市中心医院指定地点。</w:t>
      </w:r>
    </w:p>
    <w:p w14:paraId="4AFE51C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年后支付10%余款给乙方。</w:t>
      </w:r>
    </w:p>
    <w:p w14:paraId="240118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★5、质保与售后：整机保修 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18B57DB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★6、在投标文件中必须提供相关佐证资料(加盖投标人公章的技术参数、技术白皮书、说明书、彩页)，并在响应表中备注该条参</w:t>
      </w:r>
      <w:bookmarkStart w:id="0" w:name="_GoBack"/>
      <w:bookmarkEnd w:id="0"/>
      <w:r>
        <w:rPr>
          <w:rFonts w:hint="default"/>
          <w:lang w:val="en-US" w:eastAsia="zh-CN"/>
        </w:rPr>
        <w:t>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78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2025-09-25T07:30:01Z</dcterms:created>
  <dc:creator>Administrator</dc:creator>
  <cp:lastModifiedBy>蓝色贝雷</cp:lastModifiedBy>
  <dcterms:modified xsi:type="dcterms:W3CDTF">2025-09-25T07:44:30Z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BDE562B2C15F467D948CA66F4A5F9B17_12</vt:lpwstr>
  </property>
</Properties>
</file>