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A82C">
      <w:pPr>
        <w:pStyle w:val="9"/>
        <w:snapToGrid w:val="0"/>
        <w:jc w:val="center"/>
        <w:rPr>
          <w:rFonts w:hint="eastAsia" w:ascii="Arial" w:hAnsi="Arial" w:eastAsia="方正小标宋简体" w:cs="Arial"/>
          <w:color w:val="auto"/>
          <w:sz w:val="72"/>
          <w:szCs w:val="72"/>
          <w:lang w:eastAsia="zh-CN"/>
        </w:rPr>
      </w:pPr>
      <w:bookmarkStart w:id="0" w:name="_Toc16523570"/>
    </w:p>
    <w:p w14:paraId="0668E363">
      <w:pPr>
        <w:pStyle w:val="9"/>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14:paraId="75293AE3">
      <w:pPr>
        <w:pStyle w:val="9"/>
        <w:snapToGrid w:val="0"/>
        <w:jc w:val="center"/>
        <w:rPr>
          <w:rFonts w:ascii="Arial" w:hAnsi="Arial" w:eastAsia="方正小标宋简体" w:cs="Arial"/>
          <w:color w:val="auto"/>
          <w:sz w:val="72"/>
          <w:szCs w:val="72"/>
        </w:rPr>
      </w:pPr>
    </w:p>
    <w:p w14:paraId="7A4A9D78">
      <w:pPr>
        <w:pStyle w:val="9"/>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68ADF1C6">
      <w:pPr>
        <w:pStyle w:val="9"/>
        <w:snapToGrid w:val="0"/>
        <w:jc w:val="center"/>
        <w:rPr>
          <w:rFonts w:ascii="Arial" w:hAnsi="Arial" w:eastAsia="方正小标宋简体" w:cs="Arial"/>
          <w:color w:val="auto"/>
          <w:sz w:val="72"/>
          <w:szCs w:val="72"/>
        </w:rPr>
      </w:pPr>
    </w:p>
    <w:p w14:paraId="6B19A57A">
      <w:pPr>
        <w:pStyle w:val="9"/>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574591F7">
      <w:pPr>
        <w:pStyle w:val="9"/>
        <w:snapToGrid w:val="0"/>
        <w:jc w:val="center"/>
        <w:rPr>
          <w:rFonts w:ascii="Arial" w:hAnsi="Arial" w:eastAsia="方正小标宋简体" w:cs="Arial"/>
          <w:color w:val="auto"/>
          <w:sz w:val="72"/>
          <w:szCs w:val="72"/>
        </w:rPr>
      </w:pPr>
    </w:p>
    <w:p w14:paraId="71C742D0">
      <w:pPr>
        <w:pStyle w:val="9"/>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18BE369B">
      <w:pPr>
        <w:pStyle w:val="9"/>
        <w:snapToGrid w:val="0"/>
        <w:jc w:val="center"/>
        <w:rPr>
          <w:rFonts w:ascii="Arial" w:hAnsi="Arial" w:eastAsia="方正小标宋简体" w:cs="Arial"/>
          <w:color w:val="auto"/>
          <w:sz w:val="72"/>
          <w:szCs w:val="72"/>
        </w:rPr>
      </w:pPr>
    </w:p>
    <w:p w14:paraId="175D2234">
      <w:pPr>
        <w:pStyle w:val="9"/>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714E9FC">
      <w:pPr>
        <w:pStyle w:val="9"/>
        <w:snapToGrid w:val="0"/>
        <w:jc w:val="center"/>
        <w:rPr>
          <w:rFonts w:ascii="Arial" w:hAnsi="Arial" w:cs="Arial"/>
          <w:color w:val="auto"/>
          <w:sz w:val="32"/>
          <w:szCs w:val="32"/>
        </w:rPr>
      </w:pPr>
    </w:p>
    <w:p w14:paraId="6BDB84BC">
      <w:pPr>
        <w:pStyle w:val="9"/>
        <w:snapToGrid w:val="0"/>
        <w:jc w:val="center"/>
        <w:rPr>
          <w:rFonts w:ascii="Arial" w:hAnsi="Arial" w:cs="Arial"/>
          <w:color w:val="auto"/>
          <w:sz w:val="32"/>
          <w:szCs w:val="32"/>
        </w:rPr>
      </w:pPr>
    </w:p>
    <w:p w14:paraId="45537E0A">
      <w:pPr>
        <w:pStyle w:val="9"/>
        <w:snapToGrid w:val="0"/>
        <w:jc w:val="center"/>
        <w:rPr>
          <w:rFonts w:ascii="Arial" w:hAnsi="Arial" w:cs="Arial"/>
          <w:color w:val="auto"/>
          <w:sz w:val="32"/>
          <w:szCs w:val="32"/>
        </w:rPr>
      </w:pPr>
    </w:p>
    <w:p w14:paraId="06800137">
      <w:pPr>
        <w:pStyle w:val="9"/>
        <w:snapToGrid w:val="0"/>
        <w:jc w:val="center"/>
        <w:rPr>
          <w:rFonts w:ascii="Arial" w:hAnsi="Arial" w:cs="Arial"/>
          <w:color w:val="auto"/>
          <w:sz w:val="32"/>
          <w:szCs w:val="32"/>
        </w:rPr>
      </w:pPr>
    </w:p>
    <w:p w14:paraId="7D14067D">
      <w:pPr>
        <w:spacing w:line="360" w:lineRule="auto"/>
        <w:rPr>
          <w:rFonts w:hint="eastAsia"/>
          <w:bCs/>
          <w:color w:val="auto"/>
          <w:sz w:val="32"/>
          <w:szCs w:val="32"/>
        </w:rPr>
      </w:pPr>
    </w:p>
    <w:p w14:paraId="552F56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娄底市中心医院心电网络总平台建设部分硬件招标文件</w:t>
      </w:r>
    </w:p>
    <w:p w14:paraId="67D89F09">
      <w:pPr>
        <w:spacing w:line="320" w:lineRule="exact"/>
        <w:jc w:val="left"/>
        <w:rPr>
          <w:color w:val="auto"/>
          <w:sz w:val="24"/>
        </w:rPr>
      </w:pPr>
    </w:p>
    <w:p w14:paraId="290145CF">
      <w:pPr>
        <w:spacing w:line="320" w:lineRule="exact"/>
        <w:jc w:val="center"/>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w:t>
      </w:r>
      <w:r>
        <w:rPr>
          <w:rFonts w:hint="eastAsia" w:ascii="宋体" w:hAnsi="宋体" w:cs="宋体"/>
          <w:bCs/>
          <w:color w:val="auto"/>
          <w:sz w:val="32"/>
          <w:szCs w:val="32"/>
        </w:rPr>
        <w:t>月</w:t>
      </w:r>
    </w:p>
    <w:p w14:paraId="199D2F58">
      <w:pPr>
        <w:rPr>
          <w:rFonts w:hint="eastAsia" w:ascii="宋体" w:hAnsi="宋体" w:cs="宋体"/>
          <w:bCs/>
          <w:color w:val="auto"/>
          <w:sz w:val="32"/>
          <w:szCs w:val="32"/>
        </w:rPr>
      </w:pPr>
      <w:r>
        <w:rPr>
          <w:rFonts w:hint="eastAsia" w:ascii="宋体" w:hAnsi="宋体" w:cs="宋体"/>
          <w:bCs/>
          <w:color w:val="auto"/>
          <w:sz w:val="32"/>
          <w:szCs w:val="32"/>
        </w:rPr>
        <w:br w:type="page"/>
      </w:r>
    </w:p>
    <w:p w14:paraId="78D7FB35">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6ED546D8">
      <w:pPr>
        <w:pStyle w:val="9"/>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u w:val="single"/>
          <w:lang w:val="en-US" w:eastAsia="zh-CN"/>
        </w:rPr>
        <w:t>心电网络总平台建设部分硬件</w:t>
      </w:r>
      <w:r>
        <w:rPr>
          <w:rFonts w:hint="eastAsia" w:ascii="仿宋" w:hAnsi="仿宋" w:eastAsia="仿宋" w:cs="仿宋"/>
          <w:bCs/>
          <w:color w:val="auto"/>
          <w:sz w:val="24"/>
          <w:szCs w:val="24"/>
          <w:lang w:val="en-US" w:eastAsia="zh-CN"/>
        </w:rPr>
        <w:t>项目进行院内挂网招标，将招标事项公告如下：</w:t>
      </w:r>
    </w:p>
    <w:p w14:paraId="3697D011">
      <w:pPr>
        <w:pStyle w:val="9"/>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一、项目信息</w:t>
      </w:r>
    </w:p>
    <w:p w14:paraId="4CC3A9FB">
      <w:pPr>
        <w:pStyle w:val="9"/>
        <w:numPr>
          <w:ilvl w:val="0"/>
          <w:numId w:val="0"/>
        </w:numPr>
        <w:tabs>
          <w:tab w:val="left" w:pos="312"/>
        </w:tabs>
        <w:snapToGrid w:val="0"/>
        <w:spacing w:line="48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项目名称：</w:t>
      </w:r>
      <w:r>
        <w:rPr>
          <w:rFonts w:hint="eastAsia" w:ascii="仿宋" w:hAnsi="仿宋" w:eastAsia="仿宋" w:cs="仿宋"/>
          <w:bCs/>
          <w:color w:val="auto"/>
          <w:sz w:val="24"/>
          <w:szCs w:val="24"/>
          <w:u w:val="single"/>
          <w:lang w:val="en-US" w:eastAsia="zh-CN"/>
        </w:rPr>
        <w:t>心电网络总平台建设部分硬件</w:t>
      </w:r>
      <w:r>
        <w:rPr>
          <w:rFonts w:hint="eastAsia" w:ascii="仿宋" w:hAnsi="仿宋" w:eastAsia="仿宋" w:cs="仿宋"/>
          <w:b w:val="0"/>
          <w:bCs/>
          <w:color w:val="auto"/>
          <w:sz w:val="24"/>
          <w:szCs w:val="24"/>
          <w:lang w:val="en-US" w:eastAsia="zh-CN"/>
        </w:rPr>
        <w:t>项目</w:t>
      </w:r>
    </w:p>
    <w:p w14:paraId="008C2037">
      <w:pPr>
        <w:pStyle w:val="9"/>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采购方式</w:t>
      </w:r>
    </w:p>
    <w:p w14:paraId="01DA3E7E">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bidi="ar-SA"/>
        </w:rPr>
        <w:t>1、医院</w:t>
      </w:r>
      <w:r>
        <w:rPr>
          <w:rFonts w:hint="eastAsia" w:ascii="仿宋" w:hAnsi="仿宋" w:eastAsia="仿宋" w:cs="仿宋"/>
          <w:bCs/>
          <w:color w:val="auto"/>
          <w:sz w:val="24"/>
          <w:szCs w:val="24"/>
          <w:lang w:val="en-US" w:eastAsia="zh-CN"/>
        </w:rPr>
        <w:t>公开挂网，最低评标价法，</w:t>
      </w:r>
      <w:r>
        <w:rPr>
          <w:rFonts w:hint="default" w:ascii="仿宋" w:hAnsi="仿宋" w:eastAsia="仿宋" w:cs="仿宋"/>
          <w:bCs/>
          <w:color w:val="auto"/>
          <w:sz w:val="24"/>
          <w:szCs w:val="24"/>
          <w:lang w:val="en-US" w:eastAsia="zh-CN"/>
        </w:rPr>
        <w:t>投标方的报价须包含以下两部分</w:t>
      </w:r>
      <w:r>
        <w:rPr>
          <w:rFonts w:hint="eastAsia" w:ascii="仿宋" w:hAnsi="仿宋" w:eastAsia="仿宋" w:cs="仿宋"/>
          <w:bCs/>
          <w:color w:val="auto"/>
          <w:sz w:val="24"/>
          <w:szCs w:val="24"/>
          <w:lang w:val="en-US" w:eastAsia="zh-CN"/>
        </w:rPr>
        <w:t>，在满足所有参数的条件下，综合报价最低者中标，如有多个并列最低价，则由并列最低价投标人再次报价，直至出现最低报价为止。</w:t>
      </w:r>
    </w:p>
    <w:bookmarkEnd w:id="0"/>
    <w:p w14:paraId="0BAFC7C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三、投标人资格要求</w:t>
      </w:r>
    </w:p>
    <w:p w14:paraId="0BAE9AC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0332D18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2、参加政府采购活动近3年内，在经营活动中没有重大违法记录；</w:t>
      </w:r>
    </w:p>
    <w:p w14:paraId="2D54D14E">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3、投标人未列入经营异常名录和未列入严重违法失信企业名单（黑名单），投标人企业法人代表未被列入失信被执行人名单；</w:t>
      </w:r>
    </w:p>
    <w:p w14:paraId="54AE8C1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7D2CD87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4、本项目不接受联合体投标，不得分包、转包；</w:t>
      </w:r>
    </w:p>
    <w:p w14:paraId="6817348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5、单位负责人为同一人或者存在直接控股、管理关系的不同投标人，不得参加本次采购活动。</w:t>
      </w:r>
    </w:p>
    <w:p w14:paraId="47CB320D">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四、投标截止时间、开标时间及地点：</w:t>
      </w:r>
    </w:p>
    <w:p w14:paraId="226F4BE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1、开标时间：2025年10月17日9：40</w:t>
      </w:r>
      <w:bookmarkStart w:id="4" w:name="_GoBack"/>
      <w:bookmarkEnd w:id="4"/>
    </w:p>
    <w:p w14:paraId="16A5EAA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2、开标地点;娄底市中心医院综合楼420室</w:t>
      </w:r>
    </w:p>
    <w:p w14:paraId="3F0D0013">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五、招标人地址和联系方法及报名方式：</w:t>
      </w:r>
    </w:p>
    <w:p w14:paraId="16F68BBD">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1、招标人名称：娄底市中心医院</w:t>
      </w:r>
    </w:p>
    <w:p w14:paraId="2654008D">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2、联系人及联系方式：廖海星 15873871616</w:t>
      </w:r>
    </w:p>
    <w:p w14:paraId="65BAAE5C">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3、招标人地址：娄底市长青中街51号</w:t>
      </w:r>
    </w:p>
    <w:p w14:paraId="69F4E78D">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4、报名方式：请将报名信息以电子邮件形式发送至28693680@QQ.COM，报名信息包含但不限于以下内容：参与项目名称、报名公司名称、联系人、联系电话，公司营业执照等。</w:t>
      </w:r>
    </w:p>
    <w:p w14:paraId="376A01D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六、投标须知</w:t>
      </w:r>
    </w:p>
    <w:p w14:paraId="2256C15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1、否决投标的情形：</w:t>
      </w:r>
    </w:p>
    <w:p w14:paraId="00C887C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1.1、投标人以他人名义投标、串通投标、以行贿手段谋取中标的；</w:t>
      </w:r>
    </w:p>
    <w:p w14:paraId="32666238">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14:paraId="02DB57C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1.3、评标委员会认定投标人以低于成本报价竞标的；</w:t>
      </w:r>
    </w:p>
    <w:p w14:paraId="12A7472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1.4、投标人未按照要求出席开标会的；</w:t>
      </w:r>
    </w:p>
    <w:p w14:paraId="43B3A0F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1.5、投标报价有错误的，评标委员会将要求投标人作出书面澄清说明和确认，投标人拒不作出澄清说明和确认的；</w:t>
      </w:r>
    </w:p>
    <w:p w14:paraId="322FAE91">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2、有下列情形之一的，招标人将重新招标：</w:t>
      </w:r>
    </w:p>
    <w:p w14:paraId="58B98DE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2.1、投标截止时间止，投标人少于3家的；</w:t>
      </w:r>
    </w:p>
    <w:p w14:paraId="71BCFD3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2.2、经评标委员会评审后，符合资格审查的投标人少于3家的。</w:t>
      </w:r>
    </w:p>
    <w:p w14:paraId="710BBA7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3、中标单位必须配合采购人完成湖南省政府采购电子卖场直购。</w:t>
      </w:r>
    </w:p>
    <w:p w14:paraId="3FB7FD4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4、投标单位必须提供纸质投标文件及电子版投标文件（PDF格式签字盖章版本）</w:t>
      </w:r>
    </w:p>
    <w:p w14:paraId="08255FA8">
      <w:pPr>
        <w:rPr>
          <w:rFonts w:hint="eastAsia" w:ascii="仿宋" w:hAnsi="仿宋" w:eastAsia="仿宋" w:cs="仿宋"/>
          <w:color w:val="auto"/>
          <w:sz w:val="24"/>
          <w:szCs w:val="24"/>
          <w:lang w:val="en-US" w:eastAsia="zh-CN"/>
        </w:rPr>
      </w:pPr>
    </w:p>
    <w:p w14:paraId="535D4EEE">
      <w:pPr>
        <w:pStyle w:val="9"/>
        <w:numPr>
          <w:ilvl w:val="0"/>
          <w:numId w:val="0"/>
        </w:numPr>
        <w:tabs>
          <w:tab w:val="left" w:pos="312"/>
        </w:tabs>
        <w:snapToGrid w:val="0"/>
        <w:spacing w:line="48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第二章采购需求</w:t>
      </w:r>
    </w:p>
    <w:p w14:paraId="0F5F351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一、采购清单、采购项目交付或者实施的时间和地点</w:t>
      </w:r>
    </w:p>
    <w:p w14:paraId="72EE0D2D">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1.采购项目</w:t>
      </w:r>
    </w:p>
    <w:tbl>
      <w:tblPr>
        <w:tblStyle w:val="7"/>
        <w:tblW w:w="883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3094"/>
        <w:gridCol w:w="4019"/>
        <w:gridCol w:w="1725"/>
      </w:tblGrid>
      <w:tr w14:paraId="7D9B542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129" w:hRule="atLeast"/>
          <w:jc w:val="center"/>
        </w:trPr>
        <w:tc>
          <w:tcPr>
            <w:tcW w:w="309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412541">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rPr>
              <w:t>设备名称</w:t>
            </w:r>
          </w:p>
        </w:tc>
        <w:tc>
          <w:tcPr>
            <w:tcW w:w="4019"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EFF8D76">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项目限价</w:t>
            </w:r>
          </w:p>
        </w:tc>
        <w:tc>
          <w:tcPr>
            <w:tcW w:w="172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9BF1665">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备注</w:t>
            </w:r>
          </w:p>
        </w:tc>
      </w:tr>
      <w:tr w14:paraId="559438C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76" w:hRule="atLeast"/>
          <w:jc w:val="center"/>
        </w:trPr>
        <w:tc>
          <w:tcPr>
            <w:tcW w:w="309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6F13EF2">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心电网络总平台建设部分硬件</w:t>
            </w:r>
          </w:p>
        </w:tc>
        <w:tc>
          <w:tcPr>
            <w:tcW w:w="4019"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0A9C7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115600.00</w:t>
            </w:r>
          </w:p>
        </w:tc>
        <w:tc>
          <w:tcPr>
            <w:tcW w:w="172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DC9C4E9">
            <w:pPr>
              <w:keepNext w:val="0"/>
              <w:keepLines w:val="0"/>
              <w:widowControl/>
              <w:numPr>
                <w:ilvl w:val="0"/>
                <w:numId w:val="0"/>
              </w:numPr>
              <w:suppressLineNumbers w:val="0"/>
              <w:spacing w:before="60" w:beforeAutospacing="0" w:after="0" w:afterAutospacing="1"/>
              <w:rPr>
                <w:rFonts w:hint="eastAsia" w:ascii="仿宋" w:hAnsi="仿宋" w:eastAsia="仿宋" w:cs="仿宋"/>
                <w:color w:val="auto"/>
                <w:kern w:val="2"/>
                <w:sz w:val="24"/>
                <w:szCs w:val="24"/>
                <w:lang w:val="en-US" w:eastAsia="zh-CN" w:bidi="ar-SA"/>
              </w:rPr>
            </w:pPr>
          </w:p>
        </w:tc>
      </w:tr>
    </w:tbl>
    <w:p w14:paraId="0C2C92A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项目内容及要求，（以下内容必须全部响应，否则视为无效投标）</w:t>
      </w:r>
    </w:p>
    <w:p w14:paraId="2B27F5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default" w:ascii="仿宋" w:hAnsi="仿宋" w:eastAsia="仿宋" w:cs="仿宋"/>
          <w:b/>
          <w:bCs w:val="0"/>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ab/>
      </w:r>
      <w:r>
        <w:rPr>
          <w:rFonts w:hint="eastAsia" w:ascii="仿宋" w:hAnsi="仿宋" w:eastAsia="仿宋" w:cs="仿宋"/>
          <w:b/>
          <w:bCs w:val="0"/>
          <w:color w:val="auto"/>
          <w:kern w:val="0"/>
          <w:sz w:val="24"/>
          <w:szCs w:val="24"/>
          <w:lang w:val="en-US" w:eastAsia="zh-CN" w:bidi="ar-SA"/>
        </w:rPr>
        <w:t>技术参数：</w:t>
      </w:r>
    </w:p>
    <w:tbl>
      <w:tblPr>
        <w:tblStyle w:val="7"/>
        <w:tblW w:w="9357" w:type="dxa"/>
        <w:tblInd w:w="13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80" w:type="dxa"/>
          <w:left w:w="128" w:type="dxa"/>
          <w:bottom w:w="80" w:type="dxa"/>
          <w:right w:w="128" w:type="dxa"/>
        </w:tblCellMar>
      </w:tblPr>
      <w:tblGrid>
        <w:gridCol w:w="866"/>
        <w:gridCol w:w="1915"/>
        <w:gridCol w:w="5710"/>
        <w:gridCol w:w="866"/>
      </w:tblGrid>
      <w:tr w14:paraId="2FBF3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80" w:type="dxa"/>
            <w:left w:w="128" w:type="dxa"/>
            <w:bottom w:w="80" w:type="dxa"/>
            <w:right w:w="128" w:type="dxa"/>
          </w:tblCellMar>
        </w:tblPrEx>
        <w:trPr>
          <w:trHeight w:val="517" w:hRule="atLeast"/>
          <w:tblHeader/>
        </w:trPr>
        <w:tc>
          <w:tcPr>
            <w:tcW w:w="866" w:type="dxa"/>
            <w:tcBorders>
              <w:top w:val="single" w:color="000000" w:sz="8" w:space="0"/>
              <w:left w:val="single" w:color="000000" w:sz="8" w:space="0"/>
              <w:bottom w:val="nil"/>
              <w:right w:val="single" w:color="000000" w:sz="4" w:space="0"/>
            </w:tcBorders>
            <w:shd w:val="clear" w:color="auto" w:fill="969696"/>
            <w:noWrap/>
            <w:vAlign w:val="center"/>
          </w:tcPr>
          <w:p w14:paraId="325D090C">
            <w:pPr>
              <w:keepNext w:val="0"/>
              <w:keepLines w:val="0"/>
              <w:widowControl/>
              <w:suppressLineNumbers w:val="0"/>
              <w:snapToGrid w:val="0"/>
              <w:jc w:val="center"/>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序号</w:t>
            </w:r>
          </w:p>
        </w:tc>
        <w:tc>
          <w:tcPr>
            <w:tcW w:w="1915" w:type="dxa"/>
            <w:tcBorders>
              <w:top w:val="single" w:color="000000" w:sz="8" w:space="0"/>
              <w:left w:val="single" w:color="000000" w:sz="4" w:space="0"/>
              <w:bottom w:val="nil"/>
              <w:right w:val="single" w:color="000000" w:sz="4" w:space="0"/>
            </w:tcBorders>
            <w:shd w:val="clear" w:color="auto" w:fill="969696"/>
            <w:noWrap/>
            <w:vAlign w:val="center"/>
          </w:tcPr>
          <w:p w14:paraId="378510AB">
            <w:pPr>
              <w:keepNext w:val="0"/>
              <w:keepLines w:val="0"/>
              <w:widowControl/>
              <w:suppressLineNumbers w:val="0"/>
              <w:snapToGrid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产品名称</w:t>
            </w:r>
          </w:p>
        </w:tc>
        <w:tc>
          <w:tcPr>
            <w:tcW w:w="5710" w:type="dxa"/>
            <w:tcBorders>
              <w:top w:val="single" w:color="000000" w:sz="8" w:space="0"/>
              <w:left w:val="single" w:color="000000" w:sz="4" w:space="0"/>
              <w:bottom w:val="nil"/>
              <w:right w:val="single" w:color="000000" w:sz="4" w:space="0"/>
            </w:tcBorders>
            <w:shd w:val="clear" w:color="auto" w:fill="969696"/>
            <w:noWrap/>
            <w:vAlign w:val="center"/>
          </w:tcPr>
          <w:p w14:paraId="70FF7477">
            <w:pPr>
              <w:keepNext w:val="0"/>
              <w:keepLines w:val="0"/>
              <w:widowControl/>
              <w:suppressLineNumbers w:val="0"/>
              <w:snapToGrid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参数</w:t>
            </w:r>
          </w:p>
        </w:tc>
        <w:tc>
          <w:tcPr>
            <w:tcW w:w="866" w:type="dxa"/>
            <w:tcBorders>
              <w:top w:val="single" w:color="000000" w:sz="8" w:space="0"/>
              <w:left w:val="single" w:color="000000" w:sz="4" w:space="0"/>
              <w:bottom w:val="nil"/>
              <w:right w:val="single" w:color="000000" w:sz="4" w:space="0"/>
            </w:tcBorders>
            <w:shd w:val="clear" w:color="auto" w:fill="969696"/>
            <w:noWrap/>
            <w:vAlign w:val="center"/>
          </w:tcPr>
          <w:p w14:paraId="07051667">
            <w:pPr>
              <w:keepNext w:val="0"/>
              <w:keepLines w:val="0"/>
              <w:widowControl/>
              <w:suppressLineNumbers w:val="0"/>
              <w:snapToGrid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数量</w:t>
            </w:r>
          </w:p>
        </w:tc>
      </w:tr>
      <w:tr w14:paraId="4271F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80" w:type="dxa"/>
            <w:left w:w="128" w:type="dxa"/>
            <w:bottom w:w="80" w:type="dxa"/>
            <w:right w:w="128" w:type="dxa"/>
          </w:tblCellMar>
        </w:tblPrEx>
        <w:trPr>
          <w:trHeight w:val="444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6664D">
            <w:pPr>
              <w:keepNext w:val="0"/>
              <w:keepLines w:val="0"/>
              <w:widowControl/>
              <w:suppressLineNumbers w:val="0"/>
              <w:snapToGrid w:val="0"/>
              <w:jc w:val="center"/>
              <w:textAlignment w:val="center"/>
              <w:rPr>
                <w:rFonts w:hint="eastAsia" w:ascii="微软雅黑" w:hAnsi="微软雅黑" w:eastAsia="微软雅黑" w:cs="微软雅黑"/>
                <w:b/>
                <w:bCs/>
                <w:i w:val="0"/>
                <w:iCs w:val="0"/>
                <w:color w:val="000000"/>
                <w:sz w:val="18"/>
                <w:szCs w:val="20"/>
                <w:u w:val="none"/>
              </w:rPr>
            </w:pPr>
            <w:r>
              <w:rPr>
                <w:rFonts w:hint="eastAsia" w:ascii="微软雅黑" w:hAnsi="微软雅黑" w:eastAsia="微软雅黑" w:cs="微软雅黑"/>
                <w:b/>
                <w:bCs/>
                <w:i w:val="0"/>
                <w:iCs w:val="0"/>
                <w:color w:val="000000"/>
                <w:kern w:val="0"/>
                <w:sz w:val="18"/>
                <w:szCs w:val="20"/>
                <w:u w:val="none"/>
                <w:lang w:val="en-US" w:eastAsia="zh-CN" w:bidi="ar"/>
              </w:rPr>
              <w:t>1</w:t>
            </w:r>
          </w:p>
        </w:tc>
        <w:tc>
          <w:tcPr>
            <w:tcW w:w="1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5AAF9">
            <w:pPr>
              <w:keepNext w:val="0"/>
              <w:keepLines w:val="0"/>
              <w:widowControl/>
              <w:suppressLineNumbers w:val="0"/>
              <w:snapToGrid w:val="0"/>
              <w:jc w:val="center"/>
              <w:textAlignment w:val="center"/>
              <w:rPr>
                <w:rFonts w:hint="eastAsia" w:ascii="微软雅黑" w:hAnsi="微软雅黑" w:eastAsia="微软雅黑" w:cs="微软雅黑"/>
                <w:b/>
                <w:bCs/>
                <w:i w:val="0"/>
                <w:iCs w:val="0"/>
                <w:color w:val="000000"/>
                <w:sz w:val="18"/>
                <w:szCs w:val="20"/>
                <w:u w:val="none"/>
              </w:rPr>
            </w:pPr>
            <w:r>
              <w:rPr>
                <w:rFonts w:hint="eastAsia" w:ascii="微软雅黑" w:hAnsi="微软雅黑" w:eastAsia="微软雅黑" w:cs="微软雅黑"/>
                <w:b/>
                <w:bCs/>
                <w:i w:val="0"/>
                <w:iCs w:val="0"/>
                <w:color w:val="000000"/>
                <w:kern w:val="0"/>
                <w:sz w:val="18"/>
                <w:szCs w:val="20"/>
                <w:u w:val="none"/>
                <w:lang w:val="en-US" w:eastAsia="zh-CN" w:bidi="ar"/>
              </w:rPr>
              <w:t>存储服务器</w:t>
            </w:r>
          </w:p>
        </w:tc>
        <w:tc>
          <w:tcPr>
            <w:tcW w:w="5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03F61">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1、标准机架式服务器，高度≥2U，标配原厂导轨；</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2、配置≥2颗6326处理器，单颗CPU≥16核，主频≥2.9GHz；</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3、配置≥32个内存插槽，≥2个64GB 3200MHz DDR4内存模块，最高速率3200MT/s；</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4、配置≥8个SFF热插拔硬盘槽位，</w:t>
            </w:r>
            <w:r>
              <w:rPr>
                <w:rStyle w:val="12"/>
                <w:rFonts w:ascii="微软雅黑" w:eastAsia="微软雅黑"/>
                <w:sz w:val="18"/>
                <w:lang w:val="en-US" w:eastAsia="zh-CN" w:bidi="ar"/>
              </w:rPr>
              <w:t>≥2个3.84TB Nvme u.2 SSD硬盘；≥2块480G SSD硬盘</w:t>
            </w:r>
            <w:r>
              <w:rPr>
                <w:rStyle w:val="13"/>
                <w:rFonts w:ascii="微软雅黑" w:eastAsia="微软雅黑"/>
                <w:sz w:val="18"/>
                <w:lang w:val="en-US" w:eastAsia="zh-CN" w:bidi="ar"/>
              </w:rPr>
              <w:br w:type="textWrapping"/>
            </w:r>
            <w:r>
              <w:rPr>
                <w:rStyle w:val="13"/>
                <w:rFonts w:ascii="微软雅黑" w:eastAsia="微软雅黑"/>
                <w:sz w:val="18"/>
                <w:lang w:val="en-US" w:eastAsia="zh-CN" w:bidi="ar"/>
              </w:rPr>
              <w:t>5、配置≥1块VROC 模块，支持Nvme硬盘 RAID0/1/10/5；</w:t>
            </w:r>
            <w:r>
              <w:rPr>
                <w:rStyle w:val="13"/>
                <w:rFonts w:ascii="微软雅黑" w:eastAsia="微软雅黑"/>
                <w:sz w:val="18"/>
                <w:lang w:val="en-US" w:eastAsia="zh-CN" w:bidi="ar"/>
              </w:rPr>
              <w:br w:type="textWrapping"/>
            </w:r>
            <w:r>
              <w:rPr>
                <w:rStyle w:val="13"/>
                <w:rFonts w:ascii="微软雅黑" w:eastAsia="微软雅黑"/>
                <w:sz w:val="18"/>
                <w:lang w:val="en-US" w:eastAsia="zh-CN" w:bidi="ar"/>
              </w:rPr>
              <w:t>6、支持≥10个PCIE3.0可用插槽（包含1个阵列卡专用插槽和1个网卡专用插槽）；</w:t>
            </w:r>
            <w:r>
              <w:rPr>
                <w:rStyle w:val="13"/>
                <w:rFonts w:ascii="微软雅黑" w:eastAsia="微软雅黑"/>
                <w:sz w:val="18"/>
                <w:lang w:val="en-US" w:eastAsia="zh-CN" w:bidi="ar"/>
              </w:rPr>
              <w:br w:type="textWrapping"/>
            </w:r>
            <w:r>
              <w:rPr>
                <w:rStyle w:val="13"/>
                <w:rFonts w:ascii="微软雅黑" w:eastAsia="微软雅黑"/>
                <w:sz w:val="18"/>
                <w:lang w:val="en-US" w:eastAsia="zh-CN" w:bidi="ar"/>
              </w:rPr>
              <w:t>7、配置≥4个千兆电口，</w:t>
            </w:r>
            <w:r>
              <w:rPr>
                <w:rStyle w:val="12"/>
                <w:rFonts w:ascii="微软雅黑" w:eastAsia="微软雅黑"/>
                <w:sz w:val="18"/>
                <w:lang w:val="en-US" w:eastAsia="zh-CN" w:bidi="ar"/>
              </w:rPr>
              <w:t>≥2块</w:t>
            </w:r>
            <w:r>
              <w:rPr>
                <w:rStyle w:val="13"/>
                <w:rFonts w:ascii="微软雅黑" w:eastAsia="微软雅黑"/>
                <w:sz w:val="18"/>
                <w:lang w:val="en-US" w:eastAsia="zh-CN" w:bidi="ar"/>
              </w:rPr>
              <w:t>双端口10G 网卡（含模块）；</w:t>
            </w:r>
            <w:r>
              <w:rPr>
                <w:rStyle w:val="13"/>
                <w:rFonts w:ascii="微软雅黑" w:eastAsia="微软雅黑"/>
                <w:sz w:val="18"/>
                <w:lang w:val="en-US" w:eastAsia="zh-CN" w:bidi="ar"/>
              </w:rPr>
              <w:br w:type="textWrapping"/>
            </w:r>
            <w:r>
              <w:rPr>
                <w:rStyle w:val="13"/>
                <w:rFonts w:ascii="微软雅黑" w:eastAsia="微软雅黑"/>
                <w:sz w:val="18"/>
                <w:lang w:val="en-US" w:eastAsia="zh-CN" w:bidi="ar"/>
              </w:rPr>
              <w:t>8、配置≥2个800W铂金版热插拔冗余电源，支持1+1冗余，支持热插拔冗余风扇；</w:t>
            </w:r>
            <w:r>
              <w:rPr>
                <w:rStyle w:val="13"/>
                <w:rFonts w:ascii="微软雅黑" w:eastAsia="微软雅黑"/>
                <w:sz w:val="18"/>
                <w:lang w:val="en-US" w:eastAsia="zh-CN" w:bidi="ar"/>
              </w:rPr>
              <w:br w:type="textWrapping"/>
            </w:r>
            <w:r>
              <w:rPr>
                <w:rStyle w:val="13"/>
                <w:rFonts w:ascii="微软雅黑" w:eastAsia="微软雅黑"/>
                <w:sz w:val="18"/>
                <w:lang w:val="en-US" w:eastAsia="zh-CN" w:bidi="ar"/>
              </w:rPr>
              <w:t>9、提供原厂首次基础安装服务及3年售后维保服务。</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A22CE">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w:t>
            </w:r>
          </w:p>
        </w:tc>
      </w:tr>
      <w:tr w14:paraId="60C50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80" w:type="dxa"/>
            <w:left w:w="128" w:type="dxa"/>
            <w:bottom w:w="80" w:type="dxa"/>
            <w:right w:w="128" w:type="dxa"/>
          </w:tblCellMar>
        </w:tblPrEx>
        <w:trPr>
          <w:trHeight w:val="445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55476">
            <w:pPr>
              <w:keepNext w:val="0"/>
              <w:keepLines w:val="0"/>
              <w:widowControl/>
              <w:suppressLineNumbers w:val="0"/>
              <w:snapToGrid w:val="0"/>
              <w:jc w:val="center"/>
              <w:textAlignment w:val="center"/>
              <w:rPr>
                <w:rFonts w:hint="eastAsia" w:ascii="微软雅黑" w:hAnsi="微软雅黑" w:eastAsia="微软雅黑" w:cs="微软雅黑"/>
                <w:b/>
                <w:bCs/>
                <w:i w:val="0"/>
                <w:iCs w:val="0"/>
                <w:color w:val="000000"/>
                <w:sz w:val="18"/>
                <w:szCs w:val="20"/>
                <w:u w:val="none"/>
              </w:rPr>
            </w:pPr>
            <w:r>
              <w:rPr>
                <w:rFonts w:hint="eastAsia" w:ascii="微软雅黑" w:hAnsi="微软雅黑" w:eastAsia="微软雅黑" w:cs="微软雅黑"/>
                <w:b/>
                <w:bCs/>
                <w:i w:val="0"/>
                <w:iCs w:val="0"/>
                <w:color w:val="000000"/>
                <w:kern w:val="0"/>
                <w:sz w:val="18"/>
                <w:szCs w:val="20"/>
                <w:u w:val="none"/>
                <w:lang w:val="en-US" w:eastAsia="zh-CN" w:bidi="ar"/>
              </w:rPr>
              <w:t>2</w:t>
            </w:r>
          </w:p>
        </w:tc>
        <w:tc>
          <w:tcPr>
            <w:tcW w:w="1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9E701">
            <w:pPr>
              <w:keepNext w:val="0"/>
              <w:keepLines w:val="0"/>
              <w:widowControl/>
              <w:suppressLineNumbers w:val="0"/>
              <w:snapToGrid w:val="0"/>
              <w:jc w:val="center"/>
              <w:textAlignment w:val="center"/>
              <w:rPr>
                <w:rFonts w:hint="eastAsia" w:ascii="微软雅黑" w:hAnsi="微软雅黑" w:eastAsia="微软雅黑" w:cs="微软雅黑"/>
                <w:b/>
                <w:bCs/>
                <w:i w:val="0"/>
                <w:iCs w:val="0"/>
                <w:color w:val="000000"/>
                <w:sz w:val="18"/>
                <w:szCs w:val="20"/>
                <w:u w:val="none"/>
              </w:rPr>
            </w:pPr>
            <w:r>
              <w:rPr>
                <w:rFonts w:hint="eastAsia" w:ascii="微软雅黑" w:hAnsi="微软雅黑" w:eastAsia="微软雅黑" w:cs="微软雅黑"/>
                <w:b/>
                <w:bCs/>
                <w:i w:val="0"/>
                <w:iCs w:val="0"/>
                <w:color w:val="000000"/>
                <w:kern w:val="0"/>
                <w:sz w:val="18"/>
                <w:szCs w:val="20"/>
                <w:u w:val="none"/>
                <w:lang w:val="en-US" w:eastAsia="zh-CN" w:bidi="ar"/>
              </w:rPr>
              <w:t>前置机服务器</w:t>
            </w:r>
          </w:p>
        </w:tc>
        <w:tc>
          <w:tcPr>
            <w:tcW w:w="5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E0F83">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1、标准机架式服务器，高度≥2U，标配原厂导轨；</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2、配置≥2颗4314处理器，单颗CPU≥16核，主频≥2.4GHz；</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3、配置≥32个内存插槽，≥2个64GB 3200MHz DDR4内存模块，最高速率3200MT/s；</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4、配置≥8个SFF热插拔硬盘槽位，≥2个1.92TB Nvme u.2 SSD硬盘；</w:t>
            </w:r>
            <w:r>
              <w:rPr>
                <w:rStyle w:val="12"/>
                <w:rFonts w:ascii="微软雅黑" w:eastAsia="微软雅黑"/>
                <w:sz w:val="18"/>
                <w:lang w:val="en-US" w:eastAsia="zh-CN" w:bidi="ar"/>
              </w:rPr>
              <w:t>≥2块480G SSD硬盘</w:t>
            </w:r>
            <w:r>
              <w:rPr>
                <w:rStyle w:val="13"/>
                <w:rFonts w:ascii="微软雅黑" w:eastAsia="微软雅黑"/>
                <w:sz w:val="18"/>
                <w:lang w:val="en-US" w:eastAsia="zh-CN" w:bidi="ar"/>
              </w:rPr>
              <w:br w:type="textWrapping"/>
            </w:r>
            <w:r>
              <w:rPr>
                <w:rStyle w:val="13"/>
                <w:rFonts w:ascii="微软雅黑" w:eastAsia="微软雅黑"/>
                <w:sz w:val="18"/>
                <w:lang w:val="en-US" w:eastAsia="zh-CN" w:bidi="ar"/>
              </w:rPr>
              <w:t>5、配置≥1块VROC 模块，支持Nvme硬盘 RAID0/1/10/5；</w:t>
            </w:r>
            <w:r>
              <w:rPr>
                <w:rStyle w:val="13"/>
                <w:rFonts w:ascii="微软雅黑" w:eastAsia="微软雅黑"/>
                <w:sz w:val="18"/>
                <w:lang w:val="en-US" w:eastAsia="zh-CN" w:bidi="ar"/>
              </w:rPr>
              <w:br w:type="textWrapping"/>
            </w:r>
            <w:r>
              <w:rPr>
                <w:rStyle w:val="13"/>
                <w:rFonts w:ascii="微软雅黑" w:eastAsia="微软雅黑"/>
                <w:sz w:val="18"/>
                <w:lang w:val="en-US" w:eastAsia="zh-CN" w:bidi="ar"/>
              </w:rPr>
              <w:t>6、支持≥10个PCIE3.0可用插槽（包含1个阵列卡专用插槽和1个网卡专用插槽）；</w:t>
            </w:r>
            <w:r>
              <w:rPr>
                <w:rStyle w:val="13"/>
                <w:rFonts w:ascii="微软雅黑" w:eastAsia="微软雅黑"/>
                <w:sz w:val="18"/>
                <w:lang w:val="en-US" w:eastAsia="zh-CN" w:bidi="ar"/>
              </w:rPr>
              <w:br w:type="textWrapping"/>
            </w:r>
            <w:r>
              <w:rPr>
                <w:rStyle w:val="13"/>
                <w:rFonts w:ascii="微软雅黑" w:eastAsia="微软雅黑"/>
                <w:sz w:val="18"/>
                <w:lang w:val="en-US" w:eastAsia="zh-CN" w:bidi="ar"/>
              </w:rPr>
              <w:t>7、配置≥4个千兆电口，≥2块双端口10G 网卡（含模块）；</w:t>
            </w:r>
            <w:r>
              <w:rPr>
                <w:rStyle w:val="13"/>
                <w:rFonts w:ascii="微软雅黑" w:eastAsia="微软雅黑"/>
                <w:sz w:val="18"/>
                <w:lang w:val="en-US" w:eastAsia="zh-CN" w:bidi="ar"/>
              </w:rPr>
              <w:br w:type="textWrapping"/>
            </w:r>
            <w:r>
              <w:rPr>
                <w:rStyle w:val="13"/>
                <w:rFonts w:ascii="微软雅黑" w:eastAsia="微软雅黑"/>
                <w:sz w:val="18"/>
                <w:lang w:val="en-US" w:eastAsia="zh-CN" w:bidi="ar"/>
              </w:rPr>
              <w:t>8、配置≥2个800W铂金版热插拔冗余电源，支持1+1冗余，支持热插拔冗余风扇；</w:t>
            </w:r>
            <w:r>
              <w:rPr>
                <w:rStyle w:val="13"/>
                <w:rFonts w:ascii="微软雅黑" w:eastAsia="微软雅黑"/>
                <w:sz w:val="18"/>
                <w:lang w:val="en-US" w:eastAsia="zh-CN" w:bidi="ar"/>
              </w:rPr>
              <w:br w:type="textWrapping"/>
            </w:r>
            <w:r>
              <w:rPr>
                <w:rStyle w:val="13"/>
                <w:rFonts w:ascii="微软雅黑" w:eastAsia="微软雅黑"/>
                <w:sz w:val="18"/>
                <w:lang w:val="en-US" w:eastAsia="zh-CN" w:bidi="ar"/>
              </w:rPr>
              <w:t>9、提供原厂首次基础安装服务及3年售后维保服务。</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5056A">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w:t>
            </w:r>
          </w:p>
        </w:tc>
      </w:tr>
    </w:tbl>
    <w:p w14:paraId="45C73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p>
    <w:p w14:paraId="01EAEF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三、标书要求</w:t>
      </w:r>
    </w:p>
    <w:p w14:paraId="49AD9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1、封面：需注明标的名称、投标文件、单位、时间；</w:t>
      </w:r>
    </w:p>
    <w:p w14:paraId="401066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三证合一”或“五证合一”营业执照、组织机构代码证复印件、税务登记证复印件、法人授权委托文书、委托人身份证原件及复印件、投标单位依法缴纳税收和社保的证明材料（复印件）等相关资质证明（所有证件需加盖竞标单位公章）；</w:t>
      </w:r>
    </w:p>
    <w:p w14:paraId="32DC3C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3、投标人身份证复印件；</w:t>
      </w:r>
    </w:p>
    <w:p w14:paraId="46113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8A65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5、履行本项目所必需的资质证明；</w:t>
      </w:r>
    </w:p>
    <w:p w14:paraId="0E78A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6、投标文件的每一页都必须加盖投标单位的公章；</w:t>
      </w:r>
    </w:p>
    <w:p w14:paraId="76A70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7、投标人认为需提供的其他和评审有关的资料；</w:t>
      </w:r>
    </w:p>
    <w:p w14:paraId="23E96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3FD52B49">
      <w:pPr>
        <w:spacing w:line="360" w:lineRule="auto"/>
        <w:ind w:firstLine="480" w:firstLineChars="200"/>
        <w:rPr>
          <w:rFonts w:hint="eastAsia" w:ascii="仿宋" w:hAnsi="仿宋" w:eastAsia="仿宋" w:cs="仿宋"/>
          <w:bCs/>
          <w:color w:val="auto"/>
          <w:kern w:val="0"/>
          <w:sz w:val="24"/>
          <w:szCs w:val="24"/>
          <w:lang w:val="en-US" w:eastAsia="zh-CN" w:bidi="ar-SA"/>
        </w:rPr>
      </w:pPr>
    </w:p>
    <w:p w14:paraId="505B011A">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四、合同</w:t>
      </w:r>
    </w:p>
    <w:p w14:paraId="3972705B">
      <w:pPr>
        <w:rPr>
          <w:rFonts w:hint="default"/>
          <w:lang w:val="en-US" w:eastAsia="zh-CN"/>
        </w:rPr>
      </w:pPr>
    </w:p>
    <w:p w14:paraId="5B80501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合同编号：</w:t>
      </w:r>
    </w:p>
    <w:p w14:paraId="2B5C073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color w:val="000000" w:themeColor="text1"/>
          <w:sz w:val="44"/>
          <w:szCs w:val="44"/>
          <w:highlight w:val="none"/>
          <w:lang w:val="en-US" w:eastAsia="zh-CN"/>
          <w14:textFill>
            <w14:solidFill>
              <w14:schemeClr w14:val="tx1"/>
            </w14:solidFill>
          </w14:textFill>
        </w:rPr>
        <w:t>货物采购合同</w:t>
      </w:r>
    </w:p>
    <w:p w14:paraId="6943F84A">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36D49CA3">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甲方（采购方）：</w:t>
      </w:r>
      <w:r>
        <w:rPr>
          <w:rFonts w:hint="eastAsia" w:ascii="宋体" w:hAnsi="宋体" w:eastAsia="宋体" w:cs="宋体"/>
          <w:color w:val="000000" w:themeColor="text1"/>
          <w:sz w:val="24"/>
          <w:szCs w:val="24"/>
          <w:highlight w:val="none"/>
          <w:lang w:val="en-US" w:eastAsia="zh-CN"/>
          <w14:textFill>
            <w14:solidFill>
              <w14:schemeClr w14:val="tx1"/>
            </w14:solidFill>
          </w14:textFill>
        </w:rPr>
        <w:t>娄底市中心医院</w:t>
      </w:r>
    </w:p>
    <w:p w14:paraId="550357F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397F3B9F">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统一社会信用代码：12431300447162073W</w:t>
      </w:r>
    </w:p>
    <w:p w14:paraId="604D6B05">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地址：湖南省娄底市娄星区长青中街51号</w:t>
      </w:r>
    </w:p>
    <w:p w14:paraId="55CF30F6">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p>
    <w:p w14:paraId="4CAD704A">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78B6E3A3">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乙方（供货方）：</w:t>
      </w:r>
    </w:p>
    <w:p w14:paraId="579617FD">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6E530172">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w:t>
      </w:r>
    </w:p>
    <w:p w14:paraId="2932D28E">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w:t>
      </w:r>
    </w:p>
    <w:p w14:paraId="0F1326BC">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p>
    <w:p w14:paraId="7402C081">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35263EBC">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29BF46E1">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甲方通过（□</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公开招标</w:t>
      </w:r>
      <w:r>
        <w:rPr>
          <w:rFonts w:hint="eastAsia" w:ascii="宋体" w:hAnsi="宋体" w:eastAsia="宋体" w:cs="宋体"/>
          <w:color w:val="000000" w:themeColor="text1"/>
          <w:sz w:val="24"/>
          <w:szCs w:val="24"/>
          <w:highlight w:val="none"/>
          <w:lang w:val="en-US" w:eastAsia="zh-CN"/>
          <w14:textFill>
            <w14:solidFill>
              <w14:schemeClr w14:val="tx1"/>
            </w14:solidFill>
          </w14:textFill>
        </w:rPr>
        <w:t>☑医院公开挂网□医院院内议价□湖南政府采购电子卖场竞价）</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方式</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心电网络总平台建设部分硬件 </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，乙方为中标/中选供应商，</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项目编号：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心电网络总平台建设部分硬件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相关</w:t>
      </w:r>
      <w:r>
        <w:rPr>
          <w:rFonts w:hint="eastAsia" w:ascii="宋体" w:hAnsi="宋体" w:eastAsia="宋体" w:cs="宋体"/>
          <w:color w:val="000000" w:themeColor="text1"/>
          <w:sz w:val="24"/>
          <w:szCs w:val="24"/>
          <w:highlight w:val="none"/>
          <w:lang w:val="en-US" w:eastAsia="zh-CN"/>
          <w14:textFill>
            <w14:solidFill>
              <w14:schemeClr w14:val="tx1"/>
            </w14:solidFill>
          </w14:textFill>
        </w:rPr>
        <w:t>事宜平等、自愿、公平、诚信协商，达成一致，特订立本合同，以资共同遵守。</w:t>
      </w:r>
    </w:p>
    <w:p w14:paraId="19A0D50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第一条  </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采购内容</w:t>
      </w:r>
    </w:p>
    <w:p w14:paraId="0CEE09D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 货物名称、品牌、型号、价格</w:t>
      </w:r>
    </w:p>
    <w:tbl>
      <w:tblPr>
        <w:tblStyle w:val="7"/>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14:paraId="48343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3528105F">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货物</w:t>
            </w:r>
            <w:r>
              <w:rPr>
                <w:rFonts w:hint="eastAsia" w:ascii="宋体" w:hAnsi="宋体" w:eastAsia="宋体" w:cs="宋体"/>
                <w:color w:val="000000" w:themeColor="text1"/>
                <w:kern w:val="0"/>
                <w:sz w:val="24"/>
                <w:szCs w:val="24"/>
                <w:highlight w:val="none"/>
                <w14:textFill>
                  <w14:solidFill>
                    <w14:schemeClr w14:val="tx1"/>
                  </w14:solidFill>
                </w14:textFill>
              </w:rPr>
              <w:t>名称</w:t>
            </w:r>
          </w:p>
        </w:tc>
        <w:tc>
          <w:tcPr>
            <w:tcW w:w="1220" w:type="dxa"/>
            <w:noWrap w:val="0"/>
            <w:vAlign w:val="top"/>
          </w:tcPr>
          <w:p w14:paraId="2B0327D4">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品牌</w:t>
            </w:r>
          </w:p>
        </w:tc>
        <w:tc>
          <w:tcPr>
            <w:tcW w:w="1760" w:type="dxa"/>
            <w:noWrap w:val="0"/>
            <w:vAlign w:val="top"/>
          </w:tcPr>
          <w:p w14:paraId="5E2238F8">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型号</w:t>
            </w:r>
          </w:p>
        </w:tc>
        <w:tc>
          <w:tcPr>
            <w:tcW w:w="1320" w:type="dxa"/>
            <w:noWrap w:val="0"/>
            <w:vAlign w:val="top"/>
          </w:tcPr>
          <w:p w14:paraId="062D000A">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单价（元）</w:t>
            </w:r>
          </w:p>
        </w:tc>
        <w:tc>
          <w:tcPr>
            <w:tcW w:w="940" w:type="dxa"/>
            <w:noWrap w:val="0"/>
            <w:vAlign w:val="top"/>
          </w:tcPr>
          <w:p w14:paraId="392071A7">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数量</w:t>
            </w:r>
          </w:p>
        </w:tc>
        <w:tc>
          <w:tcPr>
            <w:tcW w:w="1654" w:type="dxa"/>
            <w:noWrap w:val="0"/>
            <w:vAlign w:val="top"/>
          </w:tcPr>
          <w:p w14:paraId="00ADFCA2">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金额（元）</w:t>
            </w:r>
          </w:p>
        </w:tc>
      </w:tr>
      <w:tr w14:paraId="46E15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shd w:val="clear" w:color="auto" w:fill="auto"/>
            <w:noWrap w:val="0"/>
            <w:vAlign w:val="center"/>
          </w:tcPr>
          <w:p w14:paraId="2D8D80B9">
            <w:pPr>
              <w:keepNext w:val="0"/>
              <w:keepLines w:val="0"/>
              <w:widowControl/>
              <w:suppressLineNumbers w:val="0"/>
              <w:jc w:val="center"/>
              <w:textAlignment w:val="center"/>
              <w:rPr>
                <w:rFonts w:hint="default" w:ascii="微软雅黑" w:hAnsi="微软雅黑" w:eastAsia="微软雅黑" w:cs="微软雅黑"/>
                <w:b/>
                <w:bCs/>
                <w:i w:val="0"/>
                <w:iCs w:val="0"/>
                <w:color w:val="000000"/>
                <w:kern w:val="2"/>
                <w:sz w:val="20"/>
                <w:szCs w:val="20"/>
                <w:u w:val="none"/>
                <w:lang w:val="en-US" w:eastAsia="zh-CN" w:bidi="ar-SA"/>
              </w:rPr>
            </w:pPr>
            <w:r>
              <w:rPr>
                <w:rFonts w:hint="eastAsia" w:ascii="微软雅黑" w:hAnsi="微软雅黑" w:eastAsia="微软雅黑" w:cs="微软雅黑"/>
                <w:b/>
                <w:bCs/>
                <w:i w:val="0"/>
                <w:iCs w:val="0"/>
                <w:color w:val="000000"/>
                <w:kern w:val="0"/>
                <w:sz w:val="20"/>
                <w:szCs w:val="20"/>
                <w:u w:val="none"/>
                <w:lang w:val="en-US" w:eastAsia="zh-CN" w:bidi="ar"/>
              </w:rPr>
              <w:t>存储服务器</w:t>
            </w:r>
          </w:p>
        </w:tc>
        <w:tc>
          <w:tcPr>
            <w:tcW w:w="1220" w:type="dxa"/>
            <w:noWrap w:val="0"/>
            <w:vAlign w:val="center"/>
          </w:tcPr>
          <w:p w14:paraId="6F983EAA">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 </w:t>
            </w:r>
          </w:p>
        </w:tc>
        <w:tc>
          <w:tcPr>
            <w:tcW w:w="1760" w:type="dxa"/>
            <w:noWrap w:val="0"/>
            <w:vAlign w:val="top"/>
          </w:tcPr>
          <w:p w14:paraId="79458441">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2C326257">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 </w:t>
            </w:r>
          </w:p>
        </w:tc>
        <w:tc>
          <w:tcPr>
            <w:tcW w:w="940" w:type="dxa"/>
            <w:noWrap w:val="0"/>
            <w:vAlign w:val="top"/>
          </w:tcPr>
          <w:p w14:paraId="7C107D4A">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654" w:type="dxa"/>
            <w:noWrap w:val="0"/>
            <w:vAlign w:val="top"/>
          </w:tcPr>
          <w:p w14:paraId="1F6D5149">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1E80D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shd w:val="clear" w:color="auto" w:fill="auto"/>
            <w:noWrap w:val="0"/>
            <w:vAlign w:val="center"/>
          </w:tcPr>
          <w:p w14:paraId="557AF32C">
            <w:pPr>
              <w:keepNext w:val="0"/>
              <w:keepLines w:val="0"/>
              <w:widowControl/>
              <w:suppressLineNumbers w:val="0"/>
              <w:jc w:val="center"/>
              <w:textAlignment w:val="center"/>
              <w:rPr>
                <w:rFonts w:hint="default" w:ascii="微软雅黑" w:hAnsi="微软雅黑" w:eastAsia="微软雅黑" w:cs="微软雅黑"/>
                <w:b/>
                <w:bCs/>
                <w:i w:val="0"/>
                <w:iCs w:val="0"/>
                <w:color w:val="000000"/>
                <w:kern w:val="2"/>
                <w:sz w:val="20"/>
                <w:szCs w:val="20"/>
                <w:u w:val="none"/>
                <w:lang w:val="en-US" w:eastAsia="zh-CN" w:bidi="ar-SA"/>
              </w:rPr>
            </w:pPr>
            <w:r>
              <w:rPr>
                <w:rFonts w:hint="eastAsia" w:ascii="微软雅黑" w:hAnsi="微软雅黑" w:eastAsia="微软雅黑" w:cs="微软雅黑"/>
                <w:b/>
                <w:bCs/>
                <w:i w:val="0"/>
                <w:iCs w:val="0"/>
                <w:color w:val="000000"/>
                <w:kern w:val="0"/>
                <w:sz w:val="20"/>
                <w:szCs w:val="20"/>
                <w:u w:val="none"/>
                <w:lang w:val="en-US" w:eastAsia="zh-CN" w:bidi="ar"/>
              </w:rPr>
              <w:t>前置机服务器</w:t>
            </w:r>
          </w:p>
        </w:tc>
        <w:tc>
          <w:tcPr>
            <w:tcW w:w="1220" w:type="dxa"/>
            <w:noWrap w:val="0"/>
            <w:vAlign w:val="center"/>
          </w:tcPr>
          <w:p w14:paraId="5DDCBC72">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19C06879">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20169489">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940" w:type="dxa"/>
            <w:noWrap w:val="0"/>
            <w:vAlign w:val="top"/>
          </w:tcPr>
          <w:p w14:paraId="26930E7E">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654" w:type="dxa"/>
            <w:noWrap w:val="0"/>
            <w:vAlign w:val="top"/>
          </w:tcPr>
          <w:p w14:paraId="1C2DD1E6">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6E018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14:paraId="2BD258A6">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合计</w:t>
            </w:r>
            <w:r>
              <w:rPr>
                <w:rFonts w:hint="eastAsia" w:ascii="宋体" w:hAnsi="宋体" w:eastAsia="宋体" w:cs="宋体"/>
                <w:color w:val="000000" w:themeColor="text1"/>
                <w:kern w:val="0"/>
                <w:sz w:val="24"/>
                <w:szCs w:val="24"/>
                <w:highlight w:val="none"/>
                <w:lang w:eastAsia="zh-CN"/>
                <w14:textFill>
                  <w14:solidFill>
                    <w14:schemeClr w14:val="tx1"/>
                  </w14:solidFill>
                </w14:textFill>
              </w:rPr>
              <w:t>价款</w:t>
            </w:r>
            <w:r>
              <w:rPr>
                <w:rFonts w:hint="eastAsia" w:ascii="宋体" w:hAnsi="宋体" w:eastAsia="宋体" w:cs="宋体"/>
                <w:color w:val="000000" w:themeColor="text1"/>
                <w:kern w:val="0"/>
                <w:sz w:val="24"/>
                <w:szCs w:val="24"/>
                <w:highlight w:val="none"/>
                <w14:textFill>
                  <w14:solidFill>
                    <w14:schemeClr w14:val="tx1"/>
                  </w14:solidFill>
                </w14:textFill>
              </w:rPr>
              <w:t>金额人民币（大写）：</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eastAsia="zh-CN"/>
                <w14:textFill>
                  <w14:solidFill>
                    <w14:schemeClr w14:val="tx1"/>
                  </w14:solidFill>
                </w14:textFill>
              </w:rPr>
              <w:t>元</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highlight w:val="none"/>
                <w14:textFill>
                  <w14:solidFill>
                    <w14:schemeClr w14:val="tx1"/>
                  </w14:solidFill>
                </w14:textFill>
              </w:rPr>
              <w:t>（小写）：</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元</w:t>
            </w:r>
          </w:p>
        </w:tc>
      </w:tr>
    </w:tbl>
    <w:p w14:paraId="23B55DB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 本合同约定价格为（☑固定总价□固定单价），不因物价、市场波动变更，约定价格包括且不限于设计费、材料费、人工费、安装费、包装费、运输费、装卸费、调试费、接口费、检测费、检验费、税费、保险费、售后服务费、附随服务费等在内所有费用。 </w:t>
      </w:r>
    </w:p>
    <w:p w14:paraId="190C866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 ☑</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货物无需</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货物需要</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对接，因</w:t>
      </w:r>
      <w:r>
        <w:rPr>
          <w:rFonts w:hint="eastAsia" w:ascii="宋体" w:hAnsi="宋体" w:cs="宋体"/>
          <w:color w:val="000000" w:themeColor="text1"/>
          <w:sz w:val="24"/>
          <w:szCs w:val="24"/>
          <w:highlight w:val="none"/>
          <w14:textFill>
            <w14:solidFill>
              <w14:schemeClr w14:val="tx1"/>
            </w14:solidFill>
          </w14:textFill>
        </w:rPr>
        <w:t>对接产生的接口开发等</w:t>
      </w:r>
      <w:r>
        <w:rPr>
          <w:rFonts w:hint="eastAsia" w:ascii="宋体" w:hAnsi="宋体" w:cs="宋体"/>
          <w:color w:val="000000" w:themeColor="text1"/>
          <w:sz w:val="24"/>
          <w:szCs w:val="24"/>
          <w:highlight w:val="none"/>
          <w:lang w:eastAsia="zh-CN"/>
          <w14:textFill>
            <w14:solidFill>
              <w14:schemeClr w14:val="tx1"/>
            </w14:solidFill>
          </w14:textFill>
        </w:rPr>
        <w:t>乙方及第三方需要收取的</w:t>
      </w:r>
      <w:r>
        <w:rPr>
          <w:rFonts w:hint="eastAsia" w:ascii="宋体" w:hAnsi="宋体" w:cs="宋体"/>
          <w:color w:val="000000" w:themeColor="text1"/>
          <w:sz w:val="24"/>
          <w:szCs w:val="24"/>
          <w:highlight w:val="none"/>
          <w14:textFill>
            <w14:solidFill>
              <w14:schemeClr w14:val="tx1"/>
            </w14:solidFill>
          </w14:textFill>
        </w:rPr>
        <w:t>全部费用均由乙方承担。</w:t>
      </w:r>
    </w:p>
    <w:p w14:paraId="16C8757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第二条  </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交货时间、地点、运输</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、搬运</w:t>
      </w:r>
    </w:p>
    <w:p w14:paraId="212AD5C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2.1 </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交货时间：</w:t>
      </w:r>
    </w:p>
    <w:p w14:paraId="7AD35A4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本合同货物</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要求一次性交付，</w:t>
      </w:r>
      <w:r>
        <w:rPr>
          <w:rFonts w:hint="default" w:ascii="宋体" w:hAnsi="宋体" w:eastAsia="宋体" w:cs="宋体"/>
          <w:color w:val="000000" w:themeColor="text1"/>
          <w:sz w:val="24"/>
          <w:szCs w:val="24"/>
          <w:highlight w:val="none"/>
          <w:lang w:val="en-US" w:eastAsia="zh-CN"/>
          <w14:textFill>
            <w14:solidFill>
              <w14:schemeClr w14:val="tx1"/>
            </w14:solidFill>
          </w14:textFill>
        </w:rPr>
        <w:t>乙方应在</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☑自接到甲方通知之日起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月</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日之前</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将</w:t>
      </w:r>
      <w:r>
        <w:rPr>
          <w:rFonts w:hint="eastAsia" w:ascii="宋体" w:hAnsi="宋体" w:eastAsia="宋体" w:cs="宋体"/>
          <w:color w:val="000000" w:themeColor="text1"/>
          <w:sz w:val="24"/>
          <w:szCs w:val="24"/>
          <w:highlight w:val="none"/>
          <w:lang w:val="en-US" w:eastAsia="zh-CN"/>
          <w14:textFill>
            <w14:solidFill>
              <w14:schemeClr w14:val="tx1"/>
            </w14:solidFill>
          </w14:textFill>
        </w:rPr>
        <w:t>全部货物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甲方指定交货</w:t>
      </w:r>
      <w:r>
        <w:rPr>
          <w:rFonts w:hint="default" w:ascii="宋体" w:hAnsi="宋体" w:eastAsia="宋体" w:cs="宋体"/>
          <w:color w:val="000000" w:themeColor="text1"/>
          <w:sz w:val="24"/>
          <w:szCs w:val="24"/>
          <w:highlight w:val="none"/>
          <w:lang w:val="en-US" w:eastAsia="zh-CN"/>
          <w14:textFill>
            <w14:solidFill>
              <w14:schemeClr w14:val="tx1"/>
            </w14:solidFill>
          </w14:textFill>
        </w:rPr>
        <w:t>地点，</w:t>
      </w:r>
      <w:r>
        <w:rPr>
          <w:rFonts w:hint="eastAsia" w:ascii="宋体" w:hAnsi="宋体" w:eastAsia="宋体" w:cs="宋体"/>
          <w:color w:val="000000" w:themeColor="text1"/>
          <w:sz w:val="24"/>
          <w:szCs w:val="24"/>
          <w:highlight w:val="none"/>
          <w:lang w:val="en-US" w:eastAsia="zh-CN"/>
          <w14:textFill>
            <w14:solidFill>
              <w14:schemeClr w14:val="tx1"/>
            </w14:solidFill>
          </w14:textFill>
        </w:rPr>
        <w:t>通过验收并交付甲方使用。</w:t>
      </w:r>
    </w:p>
    <w:p w14:paraId="6479D1A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□本合同货物分批次交付，乙方应在每次接到甲方通知之日起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日内将</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甲方要求的货物运至甲方指定交货地点，通过验收并交付甲方使用。</w:t>
      </w:r>
    </w:p>
    <w:p w14:paraId="2577F77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.2 甲方指定</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交货地点：湖南省娄底市</w:t>
      </w:r>
      <w:r>
        <w:rPr>
          <w:rFonts w:hint="eastAsia" w:ascii="宋体" w:hAnsi="宋体" w:eastAsia="宋体" w:cs="宋体"/>
          <w:color w:val="000000" w:themeColor="text1"/>
          <w:sz w:val="24"/>
          <w:szCs w:val="24"/>
          <w:highlight w:val="none"/>
          <w:lang w:val="en-US" w:eastAsia="zh-CN"/>
          <w14:textFill>
            <w14:solidFill>
              <w14:schemeClr w14:val="tx1"/>
            </w14:solidFill>
          </w14:textFill>
        </w:rPr>
        <w:t>娄星区</w:t>
      </w:r>
      <w:r>
        <w:rPr>
          <w:rFonts w:hint="default" w:ascii="宋体" w:hAnsi="宋体" w:eastAsia="宋体" w:cs="宋体"/>
          <w:color w:val="000000" w:themeColor="text1"/>
          <w:sz w:val="24"/>
          <w:szCs w:val="24"/>
          <w:highlight w:val="none"/>
          <w:lang w:val="en-US" w:eastAsia="zh-CN"/>
          <w14:textFill>
            <w14:solidFill>
              <w14:schemeClr w14:val="tx1"/>
            </w14:solidFill>
          </w14:textFill>
        </w:rPr>
        <w:t>长青中街51号</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娄底市中心医院。 </w:t>
      </w:r>
    </w:p>
    <w:p w14:paraId="3FE8A9D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运输</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w:t>
      </w:r>
      <w:r>
        <w:rPr>
          <w:rFonts w:hint="default" w:ascii="宋体" w:hAnsi="宋体" w:eastAsia="宋体" w:cs="宋体"/>
          <w:color w:val="000000" w:themeColor="text1"/>
          <w:sz w:val="24"/>
          <w:szCs w:val="24"/>
          <w:highlight w:val="none"/>
          <w:lang w:val="en-US" w:eastAsia="zh-CN"/>
          <w14:textFill>
            <w14:solidFill>
              <w14:schemeClr w14:val="tx1"/>
            </w14:solidFill>
          </w14:textFill>
        </w:rPr>
        <w:t>：由乙方自备交通运输工具将</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运至合同约定地点，并负责</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、搬运的人工及费用</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14:paraId="00337A9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第三条 质量标准、质量验收、包装要求</w:t>
      </w:r>
    </w:p>
    <w:p w14:paraId="4CFE16E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 质量标准：乙方提供货物的质量、安装应符合或优于国家标准；如投标文件/响应文件中的技术参数和质量标准高于国家标准，则货物的技术参数和质量标准以投标文件/响应文件为准；如乙方投标/响应时提交了样品并经甲方确认封存的，货物质量标准以样品为准。</w:t>
      </w:r>
    </w:p>
    <w:p w14:paraId="068D755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 质量验收：以本合同约定标准按以下方式进行验收：</w:t>
      </w:r>
    </w:p>
    <w:p w14:paraId="6C6BBC7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乙方将货物运至指定交货地点后☑乙方将货物运至指定交货地点并将货物全部拆包、安装、调试、培训后），应通知甲方，并向甲方提供厂家标准资料文件（进口货物需提供真实有效的海关报关单，其他货物需提供产品合格证和售后质保承诺书）。甲方自接到乙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15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日内自行组织到货验收，验收合格后签署到货验收报告单。如经甲方验收不合格，乙方应在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日内无条件予以返工并承担所有费用。</w:t>
      </w:r>
    </w:p>
    <w:p w14:paraId="05D5DFF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甲方验收时如发现乙方所交付的货物不符合本合同约定，甲方应做出详尽的现场记录，由甲乙双方签署备忘录，该现场记录和备忘录作为乙方补交缺少部件、更换不符标准部件的有效依据，由此产生的一切经济损失由乙方承担。</w:t>
      </w:r>
    </w:p>
    <w:p w14:paraId="44A5997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4BFB5C6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第四条 安装、培训等事项</w:t>
      </w:r>
    </w:p>
    <w:p w14:paraId="2125280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4.1 甲方负责协调、处理与安装、调试有关事宜，为乙方创造良好的安装、调试环境。</w:t>
      </w:r>
    </w:p>
    <w:p w14:paraId="43F2900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4.2 甲方委派</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杨勇 </w:t>
      </w:r>
      <w:r>
        <w:rPr>
          <w:rFonts w:hint="eastAsia" w:ascii="宋体" w:hAnsi="宋体" w:eastAsia="宋体" w:cs="宋体"/>
          <w:color w:val="000000" w:themeColor="text1"/>
          <w:sz w:val="24"/>
          <w:szCs w:val="24"/>
          <w:highlight w:val="none"/>
          <w:lang w:val="en-US" w:eastAsia="zh-CN"/>
          <w14:textFill>
            <w14:solidFill>
              <w14:schemeClr w14:val="tx1"/>
            </w14:solidFill>
          </w14:textFill>
        </w:rPr>
        <w:t>作为代表，跟踪、检查安装、调试现场。</w:t>
      </w:r>
    </w:p>
    <w:p w14:paraId="393E2AC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4.3 乙方负责对甲方的操作人员进行免费培训。</w:t>
      </w:r>
    </w:p>
    <w:p w14:paraId="1D0F290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4.4 乙方在安装、调试过程中应加强操作人员的安全教育，杜绝安全事故的发生。 </w:t>
      </w:r>
    </w:p>
    <w:p w14:paraId="0CD59CE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第五条 售后服务</w:t>
      </w:r>
    </w:p>
    <w:p w14:paraId="04CB4C59">
      <w:pPr>
        <w:keepNext w:val="0"/>
        <w:keepLines w:val="0"/>
        <w:pageBreakBefore w:val="0"/>
        <w:widowControl/>
        <w:numPr>
          <w:ilvl w:val="-1"/>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5.1 本合同货物质保期为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年，自甲方在验收报告单上签字确认合格之日起开始计算。</w:t>
      </w:r>
    </w:p>
    <w:p w14:paraId="0CCFD29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 质保期内乙方免费提供维修、更换服务。</w:t>
      </w:r>
    </w:p>
    <w:p w14:paraId="1858098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5.2.1 如货物在</w:t>
      </w:r>
      <w:r>
        <w:rPr>
          <w:rFonts w:hint="eastAsia" w:ascii="宋体" w:hAnsi="宋体" w:eastAsia="宋体" w:cs="宋体"/>
          <w:color w:val="000000" w:themeColor="text1"/>
          <w:sz w:val="24"/>
          <w:highlight w:val="none"/>
          <w14:textFill>
            <w14:solidFill>
              <w14:schemeClr w14:val="tx1"/>
            </w14:solidFill>
          </w14:textFill>
        </w:rPr>
        <w:t>质</w:t>
      </w:r>
      <w:r>
        <w:rPr>
          <w:rFonts w:hint="eastAsia" w:ascii="宋体" w:hAnsi="宋体" w:eastAsia="宋体" w:cs="宋体"/>
          <w:color w:val="000000" w:themeColor="text1"/>
          <w:sz w:val="24"/>
          <w:szCs w:val="24"/>
          <w:highlight w:val="none"/>
          <w:lang w:val="en-US" w:eastAsia="zh-CN"/>
          <w14:textFill>
            <w14:solidFill>
              <w14:schemeClr w14:val="tx1"/>
            </w14:solidFill>
          </w14:textFill>
        </w:rPr>
        <w:t>保期内出现质量问题，乙方应在接到甲方通知（包括电话通知）后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4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小时内赶到甲方进行维修或更换全新合格货物，相关费用由乙方承担。</w:t>
      </w:r>
    </w:p>
    <w:p w14:paraId="283E4D5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5.2.2 质保期内甲方有权随时对货物进行质量监督，如货物经甲方样品比对、随机抽检或送第三方检测机构检测不合格的，乙方须在接到甲方通知后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3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eastAsia" w:ascii="宋体" w:hAnsi="宋体" w:eastAsia="宋体" w:cs="宋体"/>
          <w:color w:val="000000" w:themeColor="text1"/>
          <w:sz w:val="24"/>
          <w:szCs w:val="24"/>
          <w:highlight w:val="none"/>
          <w:lang w:val="en-US" w:eastAsia="zh-CN"/>
          <w14:textFill>
            <w14:solidFill>
              <w14:schemeClr w14:val="tx1"/>
            </w14:solidFill>
          </w14:textFill>
        </w:rPr>
        <w:t>对不合格货物所在送货批次的全部货物进行更换，第三方检测费用和更换产生的相关费用均由乙方承担。</w:t>
      </w:r>
    </w:p>
    <w:p w14:paraId="6A92368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33779A3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5.3 质保期届满后，如货物出现问题，乙方应在接到甲方通知（包括电话通知）后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小时上门服务，相关费用由甲方承担。</w:t>
      </w:r>
    </w:p>
    <w:p w14:paraId="36AADF48">
      <w:pPr>
        <w:keepNext w:val="0"/>
        <w:keepLines w:val="0"/>
        <w:pageBreakBefore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 </w:t>
      </w:r>
      <w:r>
        <w:rPr>
          <w:rFonts w:hint="eastAsia" w:ascii="宋体" w:hAnsi="宋体" w:eastAsia="宋体" w:cs="宋体"/>
          <w:color w:val="000000" w:themeColor="text1"/>
          <w:sz w:val="24"/>
          <w:szCs w:val="24"/>
          <w:highlight w:val="none"/>
          <w14:textFill>
            <w14:solidFill>
              <w14:schemeClr w14:val="tx1"/>
            </w14:solidFill>
          </w14:textFill>
        </w:rPr>
        <w:t>乙方须指派</w:t>
      </w:r>
      <w:r>
        <w:rPr>
          <w:rFonts w:hint="eastAsia" w:ascii="宋体" w:hAnsi="宋体" w:eastAsia="宋体" w:cs="宋体"/>
          <w:color w:val="000000" w:themeColor="text1"/>
          <w:sz w:val="24"/>
          <w:szCs w:val="24"/>
          <w:highlight w:val="none"/>
          <w:u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专门负责与甲方联系售后服务事宜，如人员发生变动，应及时通知甲方。</w:t>
      </w:r>
    </w:p>
    <w:p w14:paraId="4B96646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第六条 付款时间、方式</w:t>
      </w:r>
    </w:p>
    <w:p w14:paraId="751F8BE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 甲方通过银行转账方式向乙方指定银行账户支付款项：甲方在全部货物验收合格之日起4个月内，向乙方支付</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合同约定总价款</w:t>
      </w:r>
      <w:r>
        <w:rPr>
          <w:rFonts w:hint="eastAsia" w:ascii="宋体" w:hAnsi="宋体" w:eastAsia="宋体" w:cs="宋体"/>
          <w:color w:val="000000" w:themeColor="text1"/>
          <w:sz w:val="24"/>
          <w:szCs w:val="24"/>
          <w:highlight w:val="none"/>
          <w:lang w:val="en-US" w:eastAsia="zh-CN"/>
          <w14:textFill>
            <w14:solidFill>
              <w14:schemeClr w14:val="tx1"/>
            </w14:solidFill>
          </w14:textFill>
        </w:rPr>
        <w:t>的90%；余款10%，甲方在全部货物质保期届满且不存在需被扣除情形之日起10个工作日内，免息支付给乙方。</w:t>
      </w:r>
    </w:p>
    <w:p w14:paraId="548CE68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olor w:val="000000" w:themeColor="text1"/>
          <w:sz w:val="28"/>
          <w:szCs w:val="28"/>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6.2 乙方指定收款银行账户的开户名：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开户银行：</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账号：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color w:val="000000" w:themeColor="text1"/>
          <w:sz w:val="28"/>
          <w:szCs w:val="28"/>
          <w:highlight w:val="none"/>
          <w:u w:val="none"/>
          <w:lang w:val="en-US" w:eastAsia="zh-CN"/>
          <w14:textFill>
            <w14:solidFill>
              <w14:schemeClr w14:val="tx1"/>
            </w14:solidFill>
          </w14:textFill>
        </w:rPr>
        <w:t xml:space="preserve">  </w:t>
      </w:r>
    </w:p>
    <w:p w14:paraId="32F85D6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6.3 乙方应在甲方首次付款前，向甲方提供以乙方自己名义开具的与本合同总价等额的增值税普通发票；如乙方未及时提供发票，甲方有权顺延付款，由此产生的责任均由乙方自行承担。</w:t>
      </w:r>
    </w:p>
    <w:p w14:paraId="63A805A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第七条 风险承担</w:t>
      </w:r>
    </w:p>
    <w:p w14:paraId="5ACA30A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w:t>
      </w:r>
    </w:p>
    <w:p w14:paraId="3819192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7.2 本合同货物毁损、丢失的风险自甲方在验收报告单上签字确认合格后转移给甲方，此前货物的一切风险均由乙方承担。</w:t>
      </w:r>
    </w:p>
    <w:p w14:paraId="72A2879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7.3 如甲方因乙方货物、质保服务等原因涉及纠纷、诉讼或被处以行政处罚，由乙方承担甲方因纠纷、诉讼、罚款等造成的全部经济损失。</w:t>
      </w:r>
    </w:p>
    <w:p w14:paraId="158A77F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第八条 廉洁条款</w:t>
      </w:r>
    </w:p>
    <w:p w14:paraId="5B4495B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56ABDEA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default" w:ascii="宋体" w:hAnsi="宋体" w:eastAsia="宋体" w:cs="宋体"/>
          <w:b/>
          <w:bCs/>
          <w:color w:val="000000" w:themeColor="text1"/>
          <w:sz w:val="24"/>
          <w:szCs w:val="24"/>
          <w:highlight w:val="none"/>
          <w:lang w:val="en-US" w:eastAsia="zh-CN"/>
          <w14:textFill>
            <w14:solidFill>
              <w14:schemeClr w14:val="tx1"/>
            </w14:solidFill>
          </w14:textFill>
        </w:rPr>
        <w:t xml:space="preserve">8.2 </w:t>
      </w:r>
      <w:r>
        <w:rPr>
          <w:rFonts w:hint="default" w:ascii="宋体" w:hAnsi="宋体" w:eastAsia="宋体" w:cs="宋体"/>
          <w:b/>
          <w:bCs/>
          <w:color w:val="000000" w:themeColor="text1"/>
          <w:sz w:val="24"/>
          <w:szCs w:val="24"/>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1D0456A5">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第九条 保密条款</w:t>
      </w:r>
    </w:p>
    <w:p w14:paraId="12257CA8">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2B949EF6">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9.2 乙方应对保密信息应当采取有效手段严格保密，不得用于非本合同之目的或向第三方泄露。如政府部门、法院或其他有权部门要求乙方提供保密信息，乙方应当立即向甲方通报。</w:t>
      </w:r>
    </w:p>
    <w:p w14:paraId="15964198">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9.3 因乙方未履行本合同保密义务造成甲方或第三方损失的，由乙方承担全部赔偿责任。</w:t>
      </w:r>
    </w:p>
    <w:p w14:paraId="303ED5F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9.4 本合同保密条款在合同被认定无效、被撤销或终止、解除后仍然有效。</w:t>
      </w:r>
    </w:p>
    <w:p w14:paraId="5BD0F242">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第十条 </w:t>
      </w:r>
      <w:r>
        <w:rPr>
          <w:rFonts w:hint="default" w:ascii="宋体" w:hAnsi="宋体" w:eastAsia="宋体" w:cs="宋体"/>
          <w:b/>
          <w:bCs/>
          <w:color w:val="000000" w:themeColor="text1"/>
          <w:sz w:val="24"/>
          <w:highlight w:val="none"/>
          <w:lang w:val="en-US" w:eastAsia="zh-CN"/>
          <w14:textFill>
            <w14:solidFill>
              <w14:schemeClr w14:val="tx1"/>
            </w14:solidFill>
          </w14:textFill>
        </w:rPr>
        <w:t>通知</w:t>
      </w:r>
      <w:r>
        <w:rPr>
          <w:rFonts w:hint="eastAsia" w:ascii="宋体" w:hAnsi="宋体" w:eastAsia="宋体" w:cs="宋体"/>
          <w:b/>
          <w:bCs/>
          <w:color w:val="000000" w:themeColor="text1"/>
          <w:sz w:val="24"/>
          <w:highlight w:val="none"/>
          <w:lang w:val="en-US" w:eastAsia="zh-CN"/>
          <w14:textFill>
            <w14:solidFill>
              <w14:schemeClr w14:val="tx1"/>
            </w14:solidFill>
          </w14:textFill>
        </w:rPr>
        <w:t>与送达</w:t>
      </w:r>
    </w:p>
    <w:p w14:paraId="5BDCFE0E">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10.1 甲乙双方同意，与本合同有关的任何文书，应以书面方式按照本合同约定发送，书面方式包括手机短信、微信、书面函件、电子邮件等形式。</w:t>
      </w:r>
    </w:p>
    <w:p w14:paraId="35EA582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10.2 双方确认的文书（包括未来可能发生的诉讼或仲裁活动中法院或仲裁机构的送达法律文书）送达地址：</w:t>
      </w:r>
    </w:p>
    <w:p w14:paraId="3331BD9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10.2.1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甲方的联系地址：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湖南省娄底市娄星区长青中街51号 娄底市中心医院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董昉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15973879275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22028581@qq.com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df22028581</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6E0B07E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10.2.2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乙方的联系地址：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xml:space="preserve"> ，联系人：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101928C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2F29E158">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764A776E">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第十</w:t>
      </w:r>
      <w:r>
        <w:rPr>
          <w:rFonts w:hint="eastAsia" w:ascii="宋体" w:hAnsi="宋体" w:eastAsia="宋体" w:cs="宋体"/>
          <w:b/>
          <w:bCs/>
          <w:color w:val="000000" w:themeColor="text1"/>
          <w:sz w:val="24"/>
          <w:highlight w:val="none"/>
          <w:lang w:val="en-US" w:eastAsia="zh-CN"/>
          <w14:textFill>
            <w14:solidFill>
              <w14:schemeClr w14:val="tx1"/>
            </w14:solidFill>
          </w14:textFill>
        </w:rPr>
        <w:t>一</w:t>
      </w:r>
      <w:r>
        <w:rPr>
          <w:rFonts w:hint="eastAsia" w:ascii="宋体" w:hAnsi="宋体" w:eastAsia="宋体" w:cs="宋体"/>
          <w:b/>
          <w:bCs/>
          <w:color w:val="000000" w:themeColor="text1"/>
          <w:sz w:val="24"/>
          <w:highlight w:val="none"/>
          <w:lang w:eastAsia="zh-CN"/>
          <w14:textFill>
            <w14:solidFill>
              <w14:schemeClr w14:val="tx1"/>
            </w14:solidFill>
          </w14:textFill>
        </w:rPr>
        <w:t>条</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合同的变更、解除</w:t>
      </w:r>
    </w:p>
    <w:p w14:paraId="67DA1F3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11.1 本合同经双方协商一致后可以变更，双方应另行签订补充协议。</w:t>
      </w:r>
    </w:p>
    <w:p w14:paraId="41E5475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4E9E654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11.3 </w:t>
      </w:r>
      <w:r>
        <w:rPr>
          <w:rFonts w:hint="eastAsia" w:ascii="宋体" w:hAnsi="宋体" w:eastAsia="宋体" w:cs="宋体"/>
          <w:color w:val="000000" w:themeColor="text1"/>
          <w:sz w:val="24"/>
          <w:highlight w:val="none"/>
          <w14:textFill>
            <w14:solidFill>
              <w14:schemeClr w14:val="tx1"/>
            </w14:solidFill>
          </w14:textFill>
        </w:rPr>
        <w:t>乙方出现以下违约情形之一的，甲方有权拒绝支付任何价款并解除合同：</w:t>
      </w:r>
    </w:p>
    <w:p w14:paraId="76AA7CC2">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.1 乙方逾期</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日仍不能供货；</w:t>
      </w:r>
    </w:p>
    <w:p w14:paraId="4FAD3B7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.2 乙方提供的</w:t>
      </w:r>
      <w:r>
        <w:rPr>
          <w:rFonts w:hint="eastAsia" w:ascii="宋体" w:hAnsi="宋体" w:eastAsia="宋体" w:cs="宋体"/>
          <w:color w:val="000000" w:themeColor="text1"/>
          <w:sz w:val="24"/>
          <w:highlight w:val="none"/>
          <w:lang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质量不符合国家标准、本合同标准或</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响应文件约定标准；</w:t>
      </w:r>
    </w:p>
    <w:p w14:paraId="5C6F0FA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.3 乙方将</w:t>
      </w:r>
      <w:r>
        <w:rPr>
          <w:rFonts w:hint="eastAsia" w:ascii="宋体" w:hAnsi="宋体" w:eastAsia="宋体" w:cs="宋体"/>
          <w:color w:val="000000" w:themeColor="text1"/>
          <w:sz w:val="24"/>
          <w:highlight w:val="none"/>
          <w:lang w:val="en-US" w:eastAsia="zh-CN"/>
          <w14:textFill>
            <w14:solidFill>
              <w14:schemeClr w14:val="tx1"/>
            </w14:solidFill>
          </w14:textFill>
        </w:rPr>
        <w:t>本合同权利义务全部或部分转让给</w:t>
      </w:r>
      <w:r>
        <w:rPr>
          <w:rFonts w:hint="eastAsia" w:ascii="宋体" w:hAnsi="宋体" w:eastAsia="宋体" w:cs="宋体"/>
          <w:color w:val="000000" w:themeColor="text1"/>
          <w:sz w:val="24"/>
          <w:highlight w:val="none"/>
          <w14:textFill>
            <w14:solidFill>
              <w14:schemeClr w14:val="tx1"/>
            </w14:solidFill>
          </w14:textFill>
        </w:rPr>
        <w:t>第三方；</w:t>
      </w:r>
    </w:p>
    <w:p w14:paraId="3298E312">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.4 其他根本违约的情形。</w:t>
      </w:r>
    </w:p>
    <w:p w14:paraId="0FF29ED5">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eastAsia="宋体" w:cs="宋体"/>
          <w:b/>
          <w:bCs/>
          <w:color w:val="000000" w:themeColor="text1"/>
          <w:sz w:val="24"/>
          <w:highlight w:val="none"/>
          <w:lang w:eastAsia="zh-CN"/>
          <w14:textFill>
            <w14:solidFill>
              <w14:schemeClr w14:val="tx1"/>
            </w14:solidFill>
          </w14:textFill>
        </w:rPr>
        <w:t>十</w:t>
      </w:r>
      <w:r>
        <w:rPr>
          <w:rFonts w:hint="eastAsia" w:ascii="宋体" w:hAnsi="宋体" w:eastAsia="宋体" w:cs="宋体"/>
          <w:b/>
          <w:bCs/>
          <w:color w:val="000000" w:themeColor="text1"/>
          <w:sz w:val="24"/>
          <w:highlight w:val="none"/>
          <w:lang w:val="en-US" w:eastAsia="zh-CN"/>
          <w14:textFill>
            <w14:solidFill>
              <w14:schemeClr w14:val="tx1"/>
            </w14:solidFill>
          </w14:textFill>
        </w:rPr>
        <w:t>二</w:t>
      </w:r>
      <w:r>
        <w:rPr>
          <w:rFonts w:hint="eastAsia" w:ascii="宋体" w:hAnsi="宋体" w:eastAsia="宋体" w:cs="宋体"/>
          <w:b/>
          <w:bCs/>
          <w:color w:val="000000" w:themeColor="text1"/>
          <w:sz w:val="24"/>
          <w:highlight w:val="none"/>
          <w14:textFill>
            <w14:solidFill>
              <w14:schemeClr w14:val="tx1"/>
            </w14:solidFill>
          </w14:textFill>
        </w:rPr>
        <w:t>条 违约责任</w:t>
      </w:r>
    </w:p>
    <w:p w14:paraId="083EAA3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 xml:space="preserve">.1 </w:t>
      </w:r>
      <w:r>
        <w:rPr>
          <w:rFonts w:hint="eastAsia" w:ascii="宋体" w:hAnsi="宋体" w:eastAsia="宋体" w:cs="宋体"/>
          <w:color w:val="000000" w:themeColor="text1"/>
          <w:sz w:val="24"/>
          <w:highlight w:val="none"/>
          <w:lang w:eastAsia="zh-CN"/>
          <w14:textFill>
            <w14:solidFill>
              <w14:schemeClr w14:val="tx1"/>
            </w14:solidFill>
          </w14:textFill>
        </w:rPr>
        <w:t>甲方因</w:t>
      </w:r>
      <w:r>
        <w:rPr>
          <w:rFonts w:hint="eastAsia" w:ascii="宋体" w:hAnsi="宋体" w:eastAsia="宋体" w:cs="宋体"/>
          <w:color w:val="000000" w:themeColor="text1"/>
          <w:sz w:val="24"/>
          <w:highlight w:val="none"/>
          <w:lang w:val="en-US" w:eastAsia="zh-CN"/>
          <w14:textFill>
            <w14:solidFill>
              <w14:schemeClr w14:val="tx1"/>
            </w14:solidFill>
          </w14:textFill>
        </w:rPr>
        <w:t>11.2情形提前终止本合同或剔除部分采购内容均无须承担违约责任，乙方不得因此要求甲方予以任何经济赔偿或补偿。</w:t>
      </w:r>
    </w:p>
    <w:p w14:paraId="23C3785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.2 如乙方未在本合同约定时间内将验收合格的</w:t>
      </w:r>
      <w:r>
        <w:rPr>
          <w:rFonts w:hint="eastAsia" w:ascii="宋体" w:hAnsi="宋体" w:eastAsia="宋体" w:cs="宋体"/>
          <w:color w:val="000000" w:themeColor="text1"/>
          <w:sz w:val="24"/>
          <w:highlight w:val="none"/>
          <w:lang w:val="en-US"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交付给甲方使用，除应赔偿甲方因此造成的损失外，每逾期一日，按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 ☑</w:t>
      </w:r>
      <w:r>
        <w:rPr>
          <w:rFonts w:hint="eastAsia" w:ascii="宋体" w:hAnsi="宋体" w:eastAsia="宋体" w:cs="宋体"/>
          <w:color w:val="000000" w:themeColor="text1"/>
          <w:sz w:val="24"/>
          <w:highlight w:val="none"/>
          <w:u w:val="none"/>
          <w14:textFill>
            <w14:solidFill>
              <w14:schemeClr w14:val="tx1"/>
            </w14:solidFill>
          </w14:textFill>
        </w:rPr>
        <w:t>本合同约定总价款的</w:t>
      </w:r>
      <w:r>
        <w:rPr>
          <w:rFonts w:hint="eastAsia" w:ascii="宋体" w:hAnsi="宋体" w:eastAsia="宋体" w:cs="宋体"/>
          <w:color w:val="000000" w:themeColor="text1"/>
          <w:sz w:val="24"/>
          <w:highlight w:val="none"/>
          <w:u w:val="none"/>
          <w:lang w:eastAsia="zh-CN"/>
          <w14:textFill>
            <w14:solidFill>
              <w14:schemeClr w14:val="tx1"/>
            </w14:solidFill>
          </w14:textFill>
        </w:rPr>
        <w:t>千分之一</w:t>
      </w:r>
      <w:r>
        <w:rPr>
          <w:rFonts w:hint="eastAsia" w:ascii="宋体" w:hAnsi="宋体" w:eastAsia="宋体" w:cs="宋体"/>
          <w:color w:val="000000" w:themeColor="text1"/>
          <w:sz w:val="24"/>
          <w:highlight w:val="none"/>
          <w:lang w:eastAsia="zh-CN"/>
          <w14:textFill>
            <w14:solidFill>
              <w14:schemeClr w14:val="tx1"/>
            </w14:solidFill>
          </w14:textFill>
        </w:rPr>
        <w:t>）标准</w:t>
      </w:r>
      <w:r>
        <w:rPr>
          <w:rFonts w:hint="eastAsia" w:ascii="宋体" w:hAnsi="宋体" w:eastAsia="宋体" w:cs="宋体"/>
          <w:color w:val="000000" w:themeColor="text1"/>
          <w:sz w:val="24"/>
          <w:highlight w:val="none"/>
          <w14:textFill>
            <w14:solidFill>
              <w14:schemeClr w14:val="tx1"/>
            </w14:solidFill>
          </w14:textFill>
        </w:rPr>
        <w:t>向甲方支付违约金。</w:t>
      </w:r>
    </w:p>
    <w:p w14:paraId="7A21990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.3 如乙方单方解除合同或甲方因</w:t>
      </w:r>
      <w:r>
        <w:rPr>
          <w:rFonts w:hint="eastAsia" w:ascii="宋体" w:hAnsi="宋体" w:eastAsia="宋体" w:cs="宋体"/>
          <w:color w:val="000000" w:themeColor="text1"/>
          <w:sz w:val="24"/>
          <w:highlight w:val="none"/>
          <w:lang w:val="en-US" w:eastAsia="zh-CN"/>
          <w14:textFill>
            <w14:solidFill>
              <w14:schemeClr w14:val="tx1"/>
            </w14:solidFill>
          </w14:textFill>
        </w:rPr>
        <w:t>11.3情形</w:t>
      </w:r>
      <w:r>
        <w:rPr>
          <w:rFonts w:hint="eastAsia" w:ascii="宋体" w:hAnsi="宋体" w:eastAsia="宋体" w:cs="宋体"/>
          <w:color w:val="000000" w:themeColor="text1"/>
          <w:sz w:val="24"/>
          <w:highlight w:val="none"/>
          <w14:textFill>
            <w14:solidFill>
              <w14:schemeClr w14:val="tx1"/>
            </w14:solidFill>
          </w14:textFill>
        </w:rPr>
        <w:t>解除合同，乙方应赔偿给甲方造成的全部经济损失，并按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 ☑</w:t>
      </w:r>
      <w:r>
        <w:rPr>
          <w:rFonts w:hint="eastAsia" w:ascii="宋体" w:hAnsi="宋体" w:eastAsia="宋体" w:cs="宋体"/>
          <w:color w:val="000000" w:themeColor="text1"/>
          <w:sz w:val="24"/>
          <w:highlight w:val="none"/>
          <w:u w:val="none"/>
          <w14:textFill>
            <w14:solidFill>
              <w14:schemeClr w14:val="tx1"/>
            </w14:solidFill>
          </w14:textFill>
        </w:rPr>
        <w:t>本合同总价款30%</w:t>
      </w:r>
      <w:r>
        <w:rPr>
          <w:rFonts w:hint="eastAsia" w:ascii="宋体" w:hAnsi="宋体" w:eastAsia="宋体" w:cs="宋体"/>
          <w:color w:val="000000" w:themeColor="text1"/>
          <w:sz w:val="24"/>
          <w:highlight w:val="none"/>
          <w:u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标准</w:t>
      </w:r>
      <w:r>
        <w:rPr>
          <w:rFonts w:hint="eastAsia" w:ascii="宋体" w:hAnsi="宋体" w:eastAsia="宋体" w:cs="宋体"/>
          <w:color w:val="000000" w:themeColor="text1"/>
          <w:sz w:val="24"/>
          <w:highlight w:val="none"/>
          <w:lang w:val="en-US" w:eastAsia="zh-CN"/>
          <w14:textFill>
            <w14:solidFill>
              <w14:schemeClr w14:val="tx1"/>
            </w14:solidFill>
          </w14:textFill>
        </w:rPr>
        <w:t>向</w:t>
      </w:r>
      <w:r>
        <w:rPr>
          <w:rFonts w:hint="eastAsia" w:ascii="宋体" w:hAnsi="宋体" w:eastAsia="宋体" w:cs="宋体"/>
          <w:color w:val="000000" w:themeColor="text1"/>
          <w:sz w:val="24"/>
          <w:highlight w:val="none"/>
          <w14:textFill>
            <w14:solidFill>
              <w14:schemeClr w14:val="tx1"/>
            </w14:solidFill>
          </w14:textFill>
        </w:rPr>
        <w:t>甲方支付违约金。</w:t>
      </w:r>
    </w:p>
    <w:p w14:paraId="2DFF759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12.4 无论甲方在任意时候（不限于本合同履行期间）发现存在违反本合同廉洁条款的行为，乙方均须向甲方一次性支付惩罚性违约金30000.00元。如乙方除需承担违反廉洁条款的违约责任外，同时存在其他违约行为，乙方仍须就其他违约行为承担相应违约责任。</w:t>
      </w:r>
    </w:p>
    <w:p w14:paraId="56E6D8A9">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5E1E2755">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cs="宋体"/>
          <w:b/>
          <w:bCs/>
          <w:color w:val="000000" w:themeColor="text1"/>
          <w:sz w:val="24"/>
          <w:highlight w:val="none"/>
          <w:lang w:val="en-US" w:eastAsia="zh-CN"/>
          <w14:textFill>
            <w14:solidFill>
              <w14:schemeClr w14:val="tx1"/>
            </w14:solidFill>
          </w14:textFill>
        </w:rPr>
        <w:t>十三</w:t>
      </w:r>
      <w:r>
        <w:rPr>
          <w:rFonts w:hint="eastAsia" w:ascii="宋体" w:hAnsi="宋体" w:eastAsia="宋体" w:cs="宋体"/>
          <w:b/>
          <w:bCs/>
          <w:color w:val="000000" w:themeColor="text1"/>
          <w:sz w:val="24"/>
          <w:highlight w:val="none"/>
          <w14:textFill>
            <w14:solidFill>
              <w14:schemeClr w14:val="tx1"/>
            </w14:solidFill>
          </w14:textFill>
        </w:rPr>
        <w:t>条 争议解决</w:t>
      </w:r>
    </w:p>
    <w:p w14:paraId="29EA4D8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13.1 本合同适用中华人民共和国法律，并按其解释。</w:t>
      </w:r>
    </w:p>
    <w:p w14:paraId="43081A0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13.2 </w:t>
      </w:r>
      <w:r>
        <w:rPr>
          <w:rFonts w:hint="eastAsia" w:ascii="宋体" w:hAnsi="宋体" w:eastAsia="宋体" w:cs="宋体"/>
          <w:color w:val="000000" w:themeColor="text1"/>
          <w:sz w:val="24"/>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5AF8DC5A">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第十</w:t>
      </w:r>
      <w:r>
        <w:rPr>
          <w:rFonts w:hint="eastAsia" w:ascii="宋体" w:hAnsi="宋体" w:cs="宋体"/>
          <w:b/>
          <w:bCs/>
          <w:color w:val="000000" w:themeColor="text1"/>
          <w:sz w:val="24"/>
          <w:highlight w:val="none"/>
          <w:lang w:val="en-US" w:eastAsia="zh-CN"/>
          <w14:textFill>
            <w14:solidFill>
              <w14:schemeClr w14:val="tx1"/>
            </w14:solidFill>
          </w14:textFill>
        </w:rPr>
        <w:t>四</w:t>
      </w:r>
      <w:r>
        <w:rPr>
          <w:rFonts w:hint="eastAsia" w:ascii="宋体" w:hAnsi="宋体" w:eastAsia="宋体" w:cs="宋体"/>
          <w:b/>
          <w:bCs/>
          <w:color w:val="000000" w:themeColor="text1"/>
          <w:sz w:val="24"/>
          <w:highlight w:val="none"/>
          <w14:textFill>
            <w14:solidFill>
              <w14:schemeClr w14:val="tx1"/>
            </w14:solidFill>
          </w14:textFill>
        </w:rPr>
        <w:t>条 附则</w:t>
      </w:r>
    </w:p>
    <w:p w14:paraId="3E8F2C9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 xml:space="preserve"> 乙方营业执照、</w:t>
      </w:r>
      <w:r>
        <w:rPr>
          <w:rFonts w:hint="eastAsia" w:ascii="宋体" w:hAnsi="宋体" w:eastAsia="宋体" w:cs="宋体"/>
          <w:color w:val="000000" w:themeColor="text1"/>
          <w:sz w:val="24"/>
          <w:highlight w:val="none"/>
          <w:lang w:val="en-US" w:eastAsia="zh-CN"/>
          <w14:textFill>
            <w14:solidFill>
              <w14:schemeClr w14:val="tx1"/>
            </w14:solidFill>
          </w14:textFill>
        </w:rPr>
        <w:t>法定代表人身份证明书、</w:t>
      </w:r>
      <w:r>
        <w:rPr>
          <w:rFonts w:hint="eastAsia" w:ascii="宋体" w:hAnsi="宋体" w:eastAsia="宋体" w:cs="宋体"/>
          <w:color w:val="000000" w:themeColor="text1"/>
          <w:sz w:val="24"/>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宋体" w:hAnsi="宋体" w:eastAsia="宋体" w:cs="宋体"/>
          <w:color w:val="000000" w:themeColor="text1"/>
          <w:sz w:val="24"/>
          <w:highlight w:val="none"/>
          <w:lang w:val="en-US" w:eastAsia="zh-CN"/>
          <w14:textFill>
            <w14:solidFill>
              <w14:schemeClr w14:val="tx1"/>
            </w14:solidFill>
          </w14:textFill>
        </w:rPr>
        <w:t>验收报告</w:t>
      </w:r>
      <w:r>
        <w:rPr>
          <w:rFonts w:hint="eastAsia" w:ascii="宋体" w:hAnsi="宋体" w:eastAsia="宋体" w:cs="宋体"/>
          <w:color w:val="000000" w:themeColor="text1"/>
          <w:sz w:val="24"/>
          <w:highlight w:val="none"/>
          <w14:textFill>
            <w14:solidFill>
              <w14:schemeClr w14:val="tx1"/>
            </w14:solidFill>
          </w14:textFill>
        </w:rPr>
        <w:t>单等作为本合同的附件。</w:t>
      </w:r>
    </w:p>
    <w:p w14:paraId="13D0BF0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14.2 </w:t>
      </w:r>
      <w:r>
        <w:rPr>
          <w:rFonts w:hint="eastAsia" w:ascii="宋体" w:hAnsi="宋体" w:eastAsia="宋体" w:cs="宋体"/>
          <w:color w:val="000000" w:themeColor="text1"/>
          <w:sz w:val="24"/>
          <w:highlight w:val="none"/>
          <w14:textFill>
            <w14:solidFill>
              <w14:schemeClr w14:val="tx1"/>
            </w14:solidFill>
          </w14:textFill>
        </w:rPr>
        <w:t>本合同组成文件和优先解释顺序：</w:t>
      </w:r>
      <w:r>
        <w:rPr>
          <w:rFonts w:hint="eastAsia" w:ascii="宋体" w:hAnsi="宋体" w:eastAsia="宋体" w:cs="宋体"/>
          <w:color w:val="000000" w:themeColor="text1"/>
          <w:sz w:val="24"/>
          <w:highlight w:val="none"/>
          <w:lang w:eastAsia="zh-CN"/>
          <w14:textFill>
            <w14:solidFill>
              <w14:schemeClr w14:val="tx1"/>
            </w14:solidFill>
          </w14:textFill>
        </w:rPr>
        <w:t>乙方在履行本合同中作出的书面承诺；</w:t>
      </w:r>
      <w:r>
        <w:rPr>
          <w:rFonts w:hint="eastAsia" w:ascii="宋体" w:hAnsi="宋体" w:eastAsia="宋体" w:cs="宋体"/>
          <w:color w:val="000000" w:themeColor="text1"/>
          <w:sz w:val="24"/>
          <w:highlight w:val="none"/>
          <w14:textFill>
            <w14:solidFill>
              <w14:schemeClr w14:val="tx1"/>
            </w14:solidFill>
          </w14:textFill>
        </w:rPr>
        <w:t>本合同补充协议；本合同及附件；</w:t>
      </w:r>
      <w:r>
        <w:rPr>
          <w:rFonts w:hint="eastAsia" w:ascii="宋体" w:hAnsi="宋体" w:eastAsia="宋体" w:cs="宋体"/>
          <w:color w:val="000000" w:themeColor="text1"/>
          <w:sz w:val="24"/>
          <w:highlight w:val="none"/>
          <w:lang w:eastAsia="zh-CN"/>
          <w14:textFill>
            <w14:solidFill>
              <w14:schemeClr w14:val="tx1"/>
            </w14:solidFill>
          </w14:textFill>
        </w:rPr>
        <w:t>中标通知书</w:t>
      </w:r>
      <w:r>
        <w:rPr>
          <w:rFonts w:hint="eastAsia" w:ascii="宋体" w:hAnsi="宋体" w:eastAsia="宋体" w:cs="宋体"/>
          <w:color w:val="000000" w:themeColor="text1"/>
          <w:sz w:val="24"/>
          <w:highlight w:val="none"/>
          <w:lang w:val="en-US" w:eastAsia="zh-CN"/>
          <w14:textFill>
            <w14:solidFill>
              <w14:schemeClr w14:val="tx1"/>
            </w14:solidFill>
          </w14:textFill>
        </w:rPr>
        <w:t>/成交通知书/</w:t>
      </w:r>
      <w:r>
        <w:rPr>
          <w:rFonts w:hint="eastAsia" w:ascii="宋体" w:hAnsi="宋体" w:eastAsia="宋体" w:cs="宋体"/>
          <w:color w:val="000000" w:themeColor="text1"/>
          <w:sz w:val="24"/>
          <w:highlight w:val="none"/>
          <w14:textFill>
            <w14:solidFill>
              <w14:schemeClr w14:val="tx1"/>
            </w14:solidFill>
          </w14:textFill>
        </w:rPr>
        <w:t>议价结果公示</w:t>
      </w:r>
      <w:r>
        <w:rPr>
          <w:rFonts w:hint="eastAsia" w:ascii="宋体" w:hAnsi="宋体" w:eastAsia="宋体" w:cs="宋体"/>
          <w:color w:val="000000" w:themeColor="text1"/>
          <w:sz w:val="24"/>
          <w:highlight w:val="none"/>
          <w:lang w:val="en-US" w:eastAsia="zh-CN"/>
          <w14:textFill>
            <w14:solidFill>
              <w14:schemeClr w14:val="tx1"/>
            </w14:solidFill>
          </w14:textFill>
        </w:rPr>
        <w:t>/成交公告</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w:t>
      </w:r>
      <w:r>
        <w:rPr>
          <w:rFonts w:hint="eastAsia" w:ascii="宋体" w:hAnsi="宋体" w:eastAsia="宋体" w:cs="宋体"/>
          <w:color w:val="000000" w:themeColor="text1"/>
          <w:sz w:val="24"/>
          <w:highlight w:val="none"/>
          <w:lang w:eastAsia="zh-CN"/>
          <w14:textFill>
            <w14:solidFill>
              <w14:schemeClr w14:val="tx1"/>
            </w14:solidFill>
          </w14:textFill>
        </w:rPr>
        <w:t>招标文件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采购文件</w:t>
      </w:r>
      <w:r>
        <w:rPr>
          <w:rFonts w:hint="eastAsia" w:ascii="宋体" w:hAnsi="宋体" w:eastAsia="宋体" w:cs="宋体"/>
          <w:color w:val="000000" w:themeColor="text1"/>
          <w:sz w:val="24"/>
          <w:highlight w:val="none"/>
          <w:lang w:val="en-US" w:eastAsia="zh-CN"/>
          <w14:textFill>
            <w14:solidFill>
              <w14:schemeClr w14:val="tx1"/>
            </w14:solidFill>
          </w14:textFill>
        </w:rPr>
        <w:t>/采购需求</w:t>
      </w:r>
      <w:r>
        <w:rPr>
          <w:rFonts w:hint="eastAsia" w:ascii="宋体" w:hAnsi="宋体" w:eastAsia="宋体" w:cs="宋体"/>
          <w:color w:val="000000" w:themeColor="text1"/>
          <w:sz w:val="24"/>
          <w:highlight w:val="none"/>
          <w14:textFill>
            <w14:solidFill>
              <w14:schemeClr w14:val="tx1"/>
            </w14:solidFill>
          </w14:textFill>
        </w:rPr>
        <w:t>；其他与本合同有关的资料。</w:t>
      </w:r>
    </w:p>
    <w:p w14:paraId="4FDF825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 xml:space="preserve"> 本合同一式伍份，甲方执肆份、乙方执壹份，自双方签字并盖章</w:t>
      </w:r>
      <w:r>
        <w:rPr>
          <w:rFonts w:hint="eastAsia" w:ascii="宋体" w:hAnsi="宋体" w:eastAsia="宋体" w:cs="宋体"/>
          <w:color w:val="000000" w:themeColor="text1"/>
          <w:sz w:val="24"/>
          <w:highlight w:val="none"/>
          <w:lang w:eastAsia="zh-CN"/>
          <w14:textFill>
            <w14:solidFill>
              <w14:schemeClr w14:val="tx1"/>
            </w14:solidFill>
          </w14:textFill>
        </w:rPr>
        <w:t>后</w:t>
      </w:r>
      <w:r>
        <w:rPr>
          <w:rFonts w:hint="eastAsia" w:ascii="宋体" w:hAnsi="宋体" w:eastAsia="宋体" w:cs="宋体"/>
          <w:color w:val="000000" w:themeColor="text1"/>
          <w:sz w:val="24"/>
          <w:highlight w:val="none"/>
          <w14:textFill>
            <w14:solidFill>
              <w14:schemeClr w14:val="tx1"/>
            </w14:solidFill>
          </w14:textFill>
        </w:rPr>
        <w:t>生效。</w:t>
      </w:r>
    </w:p>
    <w:p w14:paraId="21A7A113">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58233F41">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甲方（盖章）：</w:t>
      </w:r>
      <w:r>
        <w:rPr>
          <w:rFonts w:hint="eastAsia" w:ascii="宋体" w:hAnsi="宋体" w:eastAsia="宋体" w:cs="宋体"/>
          <w:color w:val="000000" w:themeColor="text1"/>
          <w:sz w:val="24"/>
          <w:highlight w:val="none"/>
          <w14:textFill>
            <w14:solidFill>
              <w14:schemeClr w14:val="tx1"/>
            </w14:solidFill>
          </w14:textFill>
        </w:rPr>
        <w:t>娄底市中心医院</w:t>
      </w:r>
      <w:r>
        <w:rPr>
          <w:rFonts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乙方（盖章）</w:t>
      </w:r>
      <w:r>
        <w:rPr>
          <w:rFonts w:hint="eastAsia" w:ascii="宋体" w:hAnsi="宋体" w:eastAsia="宋体" w:cs="宋体"/>
          <w:color w:val="000000" w:themeColor="text1"/>
          <w:sz w:val="24"/>
          <w:highlight w:val="none"/>
          <w14:textFill>
            <w14:solidFill>
              <w14:schemeClr w14:val="tx1"/>
            </w14:solidFill>
          </w14:textFill>
        </w:rPr>
        <w:t>：</w:t>
      </w:r>
    </w:p>
    <w:p w14:paraId="5DF46743">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733F7E26">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 xml:space="preserve">法定代表人（签字）：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 xml:space="preserve">法定代表人（签字）：  </w:t>
      </w:r>
    </w:p>
    <w:p w14:paraId="2737D273">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或</w:t>
      </w:r>
      <w:r>
        <w:rPr>
          <w:rFonts w:ascii="宋体" w:hAnsi="宋体" w:eastAsia="宋体" w:cs="宋体"/>
          <w:color w:val="000000" w:themeColor="text1"/>
          <w:sz w:val="24"/>
          <w:highlight w:val="none"/>
          <w14:textFill>
            <w14:solidFill>
              <w14:schemeClr w14:val="tx1"/>
            </w14:solidFill>
          </w14:textFill>
        </w:rPr>
        <w:t xml:space="preserve">委托代理人（签字）：        </w:t>
      </w:r>
      <w:r>
        <w:rPr>
          <w:rFonts w:hint="eastAsia" w:ascii="宋体" w:hAnsi="宋体" w:eastAsia="宋体" w:cs="宋体"/>
          <w:color w:val="000000" w:themeColor="text1"/>
          <w:sz w:val="24"/>
          <w:highlight w:val="none"/>
          <w14:textFill>
            <w14:solidFill>
              <w14:schemeClr w14:val="tx1"/>
            </w14:solidFill>
          </w14:textFill>
        </w:rPr>
        <w:t xml:space="preserve">      或</w:t>
      </w:r>
      <w:r>
        <w:rPr>
          <w:rFonts w:ascii="宋体" w:hAnsi="宋体" w:eastAsia="宋体" w:cs="宋体"/>
          <w:color w:val="000000" w:themeColor="text1"/>
          <w:sz w:val="24"/>
          <w:highlight w:val="none"/>
          <w14:textFill>
            <w14:solidFill>
              <w14:schemeClr w14:val="tx1"/>
            </w14:solidFill>
          </w14:textFill>
        </w:rPr>
        <w:t>委托代理人（签字）：</w:t>
      </w:r>
    </w:p>
    <w:p w14:paraId="47582B30">
      <w:pPr>
        <w:keepNext w:val="0"/>
        <w:keepLines w:val="0"/>
        <w:pageBreakBefore w:val="0"/>
        <w:kinsoku/>
        <w:wordWrap/>
        <w:overflowPunct/>
        <w:topLinePunct w:val="0"/>
        <w:autoSpaceDE/>
        <w:autoSpaceDN/>
        <w:bidi w:val="0"/>
        <w:adjustRightInd/>
        <w:snapToGrid/>
        <w:spacing w:line="440" w:lineRule="exact"/>
        <w:textAlignment w:val="auto"/>
        <w:rPr>
          <w:color w:val="000000" w:themeColor="text1"/>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合同签订地</w:t>
      </w:r>
      <w:r>
        <w:rPr>
          <w:rFonts w:hint="eastAsia" w:ascii="宋体" w:hAnsi="宋体" w:eastAsia="宋体" w:cs="宋体"/>
          <w:color w:val="000000" w:themeColor="text1"/>
          <w:sz w:val="24"/>
          <w:highlight w:val="none"/>
          <w14:textFill>
            <w14:solidFill>
              <w14:schemeClr w14:val="tx1"/>
            </w14:solidFill>
          </w14:textFill>
        </w:rPr>
        <w:t>履行地</w:t>
      </w:r>
      <w:r>
        <w:rPr>
          <w:rFonts w:ascii="宋体" w:hAnsi="宋体" w:eastAsia="宋体" w:cs="宋体"/>
          <w:color w:val="000000" w:themeColor="text1"/>
          <w:sz w:val="24"/>
          <w:highlight w:val="none"/>
          <w14:textFill>
            <w14:solidFill>
              <w14:schemeClr w14:val="tx1"/>
            </w14:solidFill>
          </w14:textFill>
        </w:rPr>
        <w:t xml:space="preserve">：娄底市娄星区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签订时间：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月</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日</w:t>
      </w:r>
    </w:p>
    <w:p w14:paraId="450F7205">
      <w:pPr>
        <w:rPr>
          <w:rFonts w:hint="default"/>
          <w:lang w:val="en-US" w:eastAsia="zh-CN"/>
        </w:rPr>
      </w:pPr>
    </w:p>
    <w:p w14:paraId="1B24DBFF">
      <w:pPr>
        <w:pStyle w:val="2"/>
        <w:numPr>
          <w:ilvl w:val="0"/>
          <w:numId w:val="0"/>
        </w:numPr>
        <w:spacing w:line="240" w:lineRule="auto"/>
        <w:jc w:val="center"/>
        <w:rPr>
          <w:rFonts w:hint="eastAsia" w:ascii="仿宋" w:hAnsi="仿宋" w:eastAsia="仿宋" w:cs="仿宋"/>
          <w:color w:val="auto"/>
          <w:sz w:val="24"/>
          <w:szCs w:val="24"/>
        </w:rPr>
      </w:pPr>
      <w:bookmarkStart w:id="1" w:name="_Toc16523574"/>
      <w:r>
        <w:rPr>
          <w:rFonts w:hint="eastAsia" w:ascii="仿宋" w:hAnsi="仿宋" w:eastAsia="仿宋" w:cs="仿宋"/>
          <w:color w:val="auto"/>
          <w:sz w:val="24"/>
          <w:szCs w:val="24"/>
          <w:lang w:val="en-US" w:eastAsia="zh-CN"/>
        </w:rPr>
        <w:t xml:space="preserve">第三章   </w:t>
      </w:r>
      <w:r>
        <w:rPr>
          <w:rFonts w:hint="eastAsia" w:ascii="仿宋" w:hAnsi="仿宋" w:eastAsia="仿宋" w:cs="仿宋"/>
          <w:color w:val="auto"/>
          <w:sz w:val="24"/>
          <w:szCs w:val="24"/>
        </w:rPr>
        <w:t>投标文件的格式</w:t>
      </w:r>
    </w:p>
    <w:p w14:paraId="10AEC8F2">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（必须按以下标题和顺序进行编制）</w:t>
      </w:r>
    </w:p>
    <w:p w14:paraId="2122998B">
      <w:pPr>
        <w:rPr>
          <w:rFonts w:hint="eastAsia" w:ascii="仿宋" w:hAnsi="仿宋" w:eastAsia="仿宋" w:cs="仿宋"/>
          <w:color w:val="auto"/>
          <w:sz w:val="24"/>
          <w:szCs w:val="24"/>
        </w:rPr>
      </w:pPr>
    </w:p>
    <w:bookmarkEnd w:id="1"/>
    <w:p w14:paraId="4112E651">
      <w:pPr>
        <w:rPr>
          <w:rFonts w:hint="eastAsia" w:ascii="仿宋" w:hAnsi="仿宋" w:eastAsia="仿宋" w:cs="仿宋"/>
          <w:color w:val="auto"/>
          <w:sz w:val="24"/>
          <w:szCs w:val="24"/>
        </w:rPr>
      </w:pPr>
    </w:p>
    <w:p w14:paraId="7BED1D8A">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第一部分、开标一览表</w:t>
      </w:r>
    </w:p>
    <w:p w14:paraId="6154215B">
      <w:pPr>
        <w:jc w:val="center"/>
        <w:rPr>
          <w:rFonts w:hint="eastAsia" w:ascii="仿宋" w:hAnsi="仿宋" w:eastAsia="仿宋" w:cs="仿宋"/>
          <w:b/>
          <w:color w:val="auto"/>
          <w:sz w:val="24"/>
          <w:szCs w:val="24"/>
        </w:rPr>
      </w:pPr>
    </w:p>
    <w:p w14:paraId="1347C8BB">
      <w:pPr>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lang w:eastAsia="zh-CN"/>
        </w:rPr>
        <w:t>注：此项内容需包含投标</w:t>
      </w:r>
      <w:r>
        <w:rPr>
          <w:rFonts w:hint="eastAsia" w:ascii="仿宋" w:hAnsi="仿宋" w:eastAsia="仿宋" w:cs="仿宋"/>
          <w:b/>
          <w:color w:val="auto"/>
          <w:sz w:val="24"/>
          <w:szCs w:val="24"/>
          <w:lang w:val="en-US" w:eastAsia="zh-CN"/>
        </w:rPr>
        <w:t>项目</w:t>
      </w:r>
      <w:r>
        <w:rPr>
          <w:rFonts w:hint="eastAsia" w:ascii="仿宋" w:hAnsi="仿宋" w:eastAsia="仿宋" w:cs="仿宋"/>
          <w:b/>
          <w:color w:val="auto"/>
          <w:sz w:val="24"/>
          <w:szCs w:val="24"/>
          <w:lang w:eastAsia="zh-CN"/>
        </w:rPr>
        <w:t>名称、数量、品牌、型号、单价、总价、等信息</w:t>
      </w:r>
    </w:p>
    <w:p w14:paraId="7FA6607A">
      <w:pPr>
        <w:pStyle w:val="10"/>
        <w:rPr>
          <w:rFonts w:hint="eastAsia" w:ascii="仿宋" w:hAnsi="仿宋" w:eastAsia="仿宋" w:cs="仿宋"/>
          <w:color w:val="auto"/>
          <w:sz w:val="24"/>
          <w:szCs w:val="24"/>
        </w:rPr>
      </w:pPr>
    </w:p>
    <w:p w14:paraId="28874686">
      <w:pPr>
        <w:adjustRightInd w:val="0"/>
        <w:snapToGrid w:val="0"/>
        <w:spacing w:line="360" w:lineRule="auto"/>
        <w:jc w:val="center"/>
        <w:rPr>
          <w:rFonts w:hint="eastAsia" w:ascii="仿宋" w:hAnsi="仿宋" w:eastAsia="仿宋" w:cs="仿宋"/>
          <w:b/>
          <w:color w:val="auto"/>
          <w:sz w:val="24"/>
          <w:szCs w:val="24"/>
        </w:rPr>
      </w:pPr>
    </w:p>
    <w:p w14:paraId="096C96EF">
      <w:pPr>
        <w:adjustRightInd w:val="0"/>
        <w:snapToGrid w:val="0"/>
        <w:spacing w:line="360" w:lineRule="auto"/>
        <w:jc w:val="center"/>
        <w:rPr>
          <w:rFonts w:hint="eastAsia" w:ascii="仿宋" w:hAnsi="仿宋" w:eastAsia="仿宋" w:cs="仿宋"/>
          <w:b/>
          <w:color w:val="auto"/>
          <w:sz w:val="24"/>
          <w:szCs w:val="24"/>
        </w:rPr>
      </w:pPr>
    </w:p>
    <w:p w14:paraId="7584A0E9">
      <w:pPr>
        <w:adjustRightInd w:val="0"/>
        <w:snapToGrid w:val="0"/>
        <w:spacing w:line="360" w:lineRule="auto"/>
        <w:jc w:val="center"/>
        <w:rPr>
          <w:rFonts w:hint="eastAsia" w:ascii="仿宋" w:hAnsi="仿宋" w:eastAsia="仿宋" w:cs="仿宋"/>
          <w:b/>
          <w:color w:val="auto"/>
          <w:sz w:val="24"/>
          <w:szCs w:val="24"/>
        </w:rPr>
      </w:pPr>
    </w:p>
    <w:p w14:paraId="3E2E7999">
      <w:pPr>
        <w:adjustRightInd w:val="0"/>
        <w:snapToGrid w:val="0"/>
        <w:spacing w:line="360" w:lineRule="auto"/>
        <w:jc w:val="center"/>
        <w:rPr>
          <w:rFonts w:hint="eastAsia" w:ascii="仿宋" w:hAnsi="仿宋" w:eastAsia="仿宋" w:cs="仿宋"/>
          <w:b/>
          <w:color w:val="auto"/>
          <w:sz w:val="24"/>
          <w:szCs w:val="24"/>
        </w:rPr>
      </w:pPr>
    </w:p>
    <w:p w14:paraId="27418B53">
      <w:pPr>
        <w:adjustRightInd w:val="0"/>
        <w:snapToGrid w:val="0"/>
        <w:spacing w:line="360"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第二部分、资格证明文件</w:t>
      </w:r>
    </w:p>
    <w:p w14:paraId="20051BAF">
      <w:pPr>
        <w:pStyle w:val="11"/>
        <w:rPr>
          <w:rFonts w:hint="eastAsia" w:ascii="仿宋" w:hAnsi="仿宋" w:eastAsia="仿宋" w:cs="仿宋"/>
          <w:color w:val="auto"/>
          <w:sz w:val="24"/>
          <w:szCs w:val="24"/>
          <w:lang w:eastAsia="zh-CN"/>
        </w:rPr>
      </w:pPr>
    </w:p>
    <w:p w14:paraId="76383466">
      <w:pPr>
        <w:adjustRightInd w:val="0"/>
        <w:snapToGrid w:val="0"/>
        <w:spacing w:line="360" w:lineRule="auto"/>
        <w:jc w:val="center"/>
        <w:rPr>
          <w:rFonts w:hint="eastAsia" w:ascii="仿宋" w:hAnsi="仿宋" w:eastAsia="仿宋" w:cs="仿宋"/>
          <w:b/>
          <w:color w:val="auto"/>
          <w:sz w:val="24"/>
          <w:szCs w:val="24"/>
        </w:rPr>
      </w:pPr>
    </w:p>
    <w:p w14:paraId="177F9770">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一、法定代表人授权委托书</w:t>
      </w:r>
    </w:p>
    <w:p w14:paraId="502CF71A">
      <w:pPr>
        <w:adjustRightInd w:val="0"/>
        <w:snapToGrid w:val="0"/>
        <w:spacing w:line="360" w:lineRule="auto"/>
        <w:rPr>
          <w:rFonts w:hint="eastAsia" w:ascii="仿宋" w:hAnsi="仿宋" w:eastAsia="仿宋" w:cs="仿宋"/>
          <w:b/>
          <w:color w:val="auto"/>
          <w:sz w:val="24"/>
          <w:szCs w:val="24"/>
        </w:rPr>
      </w:pPr>
    </w:p>
    <w:p w14:paraId="33AFB1D1">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本人</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投标人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的法定代表人，现授权</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为我方代理人。代理人根据授权，以我方名义签署、澄清、说明、补正、递交、撤回、修改</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）投标文件、签订合同和处理有关事宜，其法律后果由我方承担。</w:t>
      </w:r>
    </w:p>
    <w:p w14:paraId="68C81D2C">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委托期限：</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304A8B05">
      <w:pPr>
        <w:adjustRightInd w:val="0"/>
        <w:snapToGrid w:val="0"/>
        <w:spacing w:line="360" w:lineRule="auto"/>
        <w:ind w:firstLine="43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代理人无转委托权。</w:t>
      </w:r>
    </w:p>
    <w:p w14:paraId="592C6A13">
      <w:pPr>
        <w:adjustRightInd w:val="0"/>
        <w:snapToGrid w:val="0"/>
        <w:spacing w:line="360" w:lineRule="auto"/>
        <w:ind w:firstLine="435"/>
        <w:rPr>
          <w:rFonts w:hint="eastAsia" w:ascii="仿宋" w:hAnsi="仿宋" w:eastAsia="仿宋" w:cs="仿宋"/>
          <w:color w:val="auto"/>
          <w:sz w:val="24"/>
          <w:szCs w:val="24"/>
        </w:rPr>
      </w:pPr>
      <w:r>
        <w:rPr>
          <w:rFonts w:hint="eastAsia" w:ascii="仿宋" w:hAnsi="仿宋" w:eastAsia="仿宋" w:cs="仿宋"/>
          <w:color w:val="auto"/>
          <w:sz w:val="24"/>
          <w:szCs w:val="24"/>
        </w:rPr>
        <w:t>本授权书于日期：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日签字生效，特此声明。</w:t>
      </w:r>
    </w:p>
    <w:p w14:paraId="0CCE82F9">
      <w:pPr>
        <w:adjustRightInd w:val="0"/>
        <w:snapToGrid w:val="0"/>
        <w:spacing w:line="360" w:lineRule="auto"/>
        <w:ind w:firstLine="480" w:firstLineChars="200"/>
        <w:rPr>
          <w:rFonts w:hint="eastAsia" w:ascii="仿宋" w:hAnsi="仿宋" w:eastAsia="仿宋" w:cs="仿宋"/>
          <w:color w:val="auto"/>
          <w:sz w:val="24"/>
          <w:szCs w:val="24"/>
        </w:rPr>
      </w:pPr>
    </w:p>
    <w:tbl>
      <w:tblPr>
        <w:tblStyle w:val="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69E6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4B2547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委托代理人身份证（正面、反面）复印件</w:t>
            </w:r>
          </w:p>
        </w:tc>
      </w:tr>
    </w:tbl>
    <w:p w14:paraId="5C033F20">
      <w:pPr>
        <w:adjustRightInd w:val="0"/>
        <w:snapToGrid w:val="0"/>
        <w:spacing w:line="360" w:lineRule="auto"/>
        <w:rPr>
          <w:rFonts w:hint="eastAsia" w:ascii="仿宋" w:hAnsi="仿宋" w:eastAsia="仿宋" w:cs="仿宋"/>
          <w:color w:val="auto"/>
          <w:sz w:val="24"/>
          <w:szCs w:val="24"/>
        </w:rPr>
      </w:pPr>
    </w:p>
    <w:tbl>
      <w:tblPr>
        <w:tblStyle w:val="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7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C248A0A">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法定代表人身份证（正面、反面）复印件</w:t>
            </w:r>
          </w:p>
        </w:tc>
      </w:tr>
    </w:tbl>
    <w:p w14:paraId="74AA6451">
      <w:pPr>
        <w:adjustRightInd w:val="0"/>
        <w:snapToGrid w:val="0"/>
        <w:spacing w:line="360" w:lineRule="auto"/>
        <w:rPr>
          <w:rFonts w:hint="eastAsia" w:ascii="仿宋" w:hAnsi="仿宋" w:eastAsia="仿宋" w:cs="仿宋"/>
          <w:color w:val="auto"/>
          <w:sz w:val="24"/>
          <w:szCs w:val="24"/>
        </w:rPr>
      </w:pPr>
    </w:p>
    <w:p w14:paraId="45197FBA">
      <w:pPr>
        <w:adjustRightInd w:val="0"/>
        <w:snapToGrid w:val="0"/>
        <w:spacing w:line="360" w:lineRule="auto"/>
        <w:rPr>
          <w:rFonts w:hint="eastAsia" w:ascii="仿宋" w:hAnsi="仿宋" w:eastAsia="仿宋" w:cs="仿宋"/>
          <w:color w:val="auto"/>
          <w:sz w:val="24"/>
          <w:szCs w:val="24"/>
        </w:rPr>
      </w:pPr>
    </w:p>
    <w:p w14:paraId="6082DAC1">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14:paraId="7835EE6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73C72B2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3042B74">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6972FD2">
      <w:pPr>
        <w:adjustRightInd w:val="0"/>
        <w:snapToGrid w:val="0"/>
        <w:spacing w:line="360" w:lineRule="auto"/>
        <w:rPr>
          <w:rFonts w:hint="eastAsia" w:ascii="仿宋" w:hAnsi="仿宋" w:eastAsia="仿宋" w:cs="仿宋"/>
          <w:b/>
          <w:color w:val="auto"/>
          <w:sz w:val="24"/>
          <w:szCs w:val="24"/>
        </w:rPr>
      </w:pPr>
    </w:p>
    <w:p w14:paraId="1FF3CAA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b/>
          <w:color w:val="auto"/>
          <w:sz w:val="24"/>
          <w:szCs w:val="24"/>
        </w:rPr>
        <w:t>二、投标人资格声明</w:t>
      </w:r>
    </w:p>
    <w:p w14:paraId="46599C6D">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089DEC85">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按照招标文件的规定，我单位郑重声明如下：</w:t>
      </w:r>
    </w:p>
    <w:p w14:paraId="7425A4C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一、我单位是按照中华人民共和国法律规定登记注册的，注册地点为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，全称为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，统一社会信用代码为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，法定代表人为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，具有独立承担民事责任的能力。</w:t>
      </w:r>
    </w:p>
    <w:p w14:paraId="31E15CF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二、我单位具有良好的商业信誉和健全的财务会计制度。</w:t>
      </w:r>
    </w:p>
    <w:p w14:paraId="46BA265F">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w:t>
      </w:r>
      <w:r>
        <w:rPr>
          <w:rFonts w:hint="eastAsia" w:ascii="仿宋" w:hAnsi="仿宋" w:eastAsia="仿宋" w:cs="仿宋"/>
          <w:color w:val="auto"/>
          <w:sz w:val="24"/>
          <w:szCs w:val="24"/>
        </w:rPr>
        <w:t>我单位具有履行本项目采购合同所必需的设备和专业技术能力。</w:t>
      </w:r>
    </w:p>
    <w:p w14:paraId="77B8C97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F3C91A7">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五、我单位具备法律、行政法规规定的其他条件。</w:t>
      </w:r>
    </w:p>
    <w:p w14:paraId="7BCEBBAF">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六、</w:t>
      </w:r>
      <w:r>
        <w:rPr>
          <w:rFonts w:hint="eastAsia" w:ascii="仿宋" w:hAnsi="仿宋" w:eastAsia="仿宋" w:cs="仿宋"/>
          <w:color w:val="auto"/>
          <w:sz w:val="24"/>
          <w:szCs w:val="24"/>
        </w:rPr>
        <w:t>与我单位存在“单位负责人为同一人或者存在直接控股、管理关系”的其他法人单位信息如下（如无，填写“无”）：</w:t>
      </w:r>
    </w:p>
    <w:p w14:paraId="191BEECA">
      <w:pPr>
        <w:adjustRightInd w:val="0"/>
        <w:snapToGrid w:val="0"/>
        <w:spacing w:before="120" w:beforeLines="5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1、与我单位的法定代表人（单位负责人）为同一人的其他法人单位如下：</w:t>
      </w:r>
      <w:r>
        <w:rPr>
          <w:rFonts w:hint="eastAsia" w:ascii="仿宋" w:hAnsi="仿宋" w:eastAsia="仿宋" w:cs="仿宋"/>
          <w:color w:val="auto"/>
          <w:sz w:val="24"/>
          <w:szCs w:val="24"/>
          <w:u w:val="single"/>
        </w:rPr>
        <w:t xml:space="preserve">               </w:t>
      </w:r>
    </w:p>
    <w:p w14:paraId="34BBC33E">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2、我单位直接控股的其他法人单位如下：</w:t>
      </w:r>
      <w:r>
        <w:rPr>
          <w:rFonts w:hint="eastAsia" w:ascii="仿宋" w:hAnsi="仿宋" w:eastAsia="仿宋" w:cs="仿宋"/>
          <w:color w:val="auto"/>
          <w:sz w:val="24"/>
          <w:szCs w:val="24"/>
          <w:u w:val="single"/>
        </w:rPr>
        <w:t xml:space="preserve">                                            </w:t>
      </w:r>
    </w:p>
    <w:p w14:paraId="6808D36D">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3、与我单位存在管理关系的其他法人单位如下：</w:t>
      </w:r>
      <w:r>
        <w:rPr>
          <w:rFonts w:hint="eastAsia" w:ascii="仿宋" w:hAnsi="仿宋" w:eastAsia="仿宋" w:cs="仿宋"/>
          <w:color w:val="auto"/>
          <w:sz w:val="24"/>
          <w:szCs w:val="24"/>
          <w:u w:val="single"/>
        </w:rPr>
        <w:t xml:space="preserve">                                      </w:t>
      </w:r>
    </w:p>
    <w:p w14:paraId="14D3CF47">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我单位保证上述声明的事项都是真实的，如有虚假，我单位愿意承担相应的法律责任，并承担因此所造成的一切损失。</w:t>
      </w:r>
    </w:p>
    <w:p w14:paraId="2524CA35">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我单位保证随时按照要求提供能够证明上述声明事项真实性的任何有效文件。</w:t>
      </w:r>
    </w:p>
    <w:p w14:paraId="1F67F9C2">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投标人名称（盖单位公章）：</w:t>
      </w:r>
    </w:p>
    <w:p w14:paraId="58DD5F02">
      <w:pPr>
        <w:widowControl/>
        <w:adjustRightInd w:val="0"/>
        <w:snapToGrid w:val="0"/>
        <w:spacing w:before="120" w:beforeLines="50" w:line="360" w:lineRule="auto"/>
        <w:jc w:val="left"/>
        <w:rPr>
          <w:rFonts w:hint="eastAsia" w:ascii="仿宋" w:hAnsi="仿宋" w:eastAsia="仿宋" w:cs="仿宋"/>
          <w:b/>
          <w:bCs/>
          <w:color w:val="auto"/>
          <w:kern w:val="0"/>
          <w:sz w:val="24"/>
          <w:szCs w:val="24"/>
        </w:rPr>
      </w:pPr>
      <w:r>
        <w:rPr>
          <w:rFonts w:hint="eastAsia" w:ascii="仿宋" w:hAnsi="仿宋" w:eastAsia="仿宋" w:cs="仿宋"/>
          <w:color w:val="auto"/>
          <w:sz w:val="24"/>
          <w:szCs w:val="24"/>
        </w:rPr>
        <w:t>法定代表人或委托代理人（签字）：</w:t>
      </w:r>
    </w:p>
    <w:p w14:paraId="5BB486C5">
      <w:pPr>
        <w:widowControl/>
        <w:adjustRightInd w:val="0"/>
        <w:snapToGrid w:val="0"/>
        <w:spacing w:before="120" w:beforeLines="50"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9762F83">
      <w:pPr>
        <w:adjustRightInd w:val="0"/>
        <w:snapToGrid w:val="0"/>
        <w:spacing w:line="360" w:lineRule="auto"/>
        <w:rPr>
          <w:rFonts w:hint="eastAsia" w:ascii="仿宋" w:hAnsi="仿宋" w:eastAsia="仿宋" w:cs="仿宋"/>
          <w:b/>
          <w:color w:val="auto"/>
          <w:sz w:val="24"/>
          <w:szCs w:val="24"/>
        </w:rPr>
      </w:pPr>
    </w:p>
    <w:p w14:paraId="78229773">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三、符合基本资格条件证明材料复印件或者情况说明</w:t>
      </w:r>
    </w:p>
    <w:p w14:paraId="54735C03">
      <w:pPr>
        <w:adjustRightInd w:val="0"/>
        <w:snapToGrid w:val="0"/>
        <w:spacing w:line="360" w:lineRule="auto"/>
        <w:jc w:val="center"/>
        <w:rPr>
          <w:rFonts w:hint="eastAsia" w:ascii="仿宋" w:hAnsi="仿宋" w:eastAsia="仿宋" w:cs="仿宋"/>
          <w:b/>
          <w:color w:val="auto"/>
          <w:sz w:val="24"/>
          <w:szCs w:val="24"/>
        </w:rPr>
      </w:pPr>
    </w:p>
    <w:p w14:paraId="0FED4E0A">
      <w:pPr>
        <w:pStyle w:val="3"/>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及资格要求的证明材料，提供信用中国网页查询截图，</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14:paraId="4E5CCDEF">
      <w:pPr>
        <w:widowControl/>
        <w:spacing w:after="100" w:afterAutospacing="1" w:line="360" w:lineRule="auto"/>
        <w:ind w:left="227" w:right="113" w:firstLine="482"/>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510A0E3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按照《政府采购促进中小企业发展管理办法》(财库〔2020〕46号)规定，</w:t>
      </w:r>
    </w:p>
    <w:p w14:paraId="42ADF3B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本公司企业规模为：          （大型、中型、小型、微型 ）</w:t>
      </w:r>
    </w:p>
    <w:p w14:paraId="3C2F2CEF">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14:paraId="7506E915">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14:paraId="4444F748">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14:paraId="57E1888B">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14:paraId="36828CDF">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14:paraId="269D08E1">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14:paraId="0A6C8559">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2023年     月     日</w:t>
      </w:r>
    </w:p>
    <w:p w14:paraId="47DF1938">
      <w:pPr>
        <w:adjustRightInd w:val="0"/>
        <w:snapToGrid w:val="0"/>
        <w:spacing w:line="360" w:lineRule="auto"/>
        <w:ind w:left="4406" w:leftChars="-302" w:hanging="5040" w:hangingChars="2100"/>
        <w:jc w:val="right"/>
        <w:rPr>
          <w:rFonts w:hint="eastAsia" w:ascii="仿宋" w:hAnsi="仿宋" w:eastAsia="仿宋" w:cs="仿宋"/>
          <w:b/>
          <w:color w:val="auto"/>
          <w:sz w:val="24"/>
          <w:szCs w:val="24"/>
          <w:lang w:val="en-US" w:eastAsia="zh-CN"/>
        </w:rPr>
      </w:pPr>
      <w:r>
        <w:rPr>
          <w:rFonts w:hint="eastAsia" w:ascii="仿宋" w:hAnsi="仿宋" w:eastAsia="仿宋" w:cs="仿宋"/>
          <w:b w:val="0"/>
          <w:bCs w:val="0"/>
          <w:color w:val="auto"/>
          <w:kern w:val="2"/>
          <w:sz w:val="24"/>
          <w:szCs w:val="24"/>
          <w:lang w:val="en-US" w:eastAsia="zh-CN" w:bidi="ar-SA"/>
        </w:rPr>
        <w:t>注、企业规模划分标准：《关于印发中小企业划型标准规定的通知》（工信部联企业〔2011〕300号）</w:t>
      </w:r>
    </w:p>
    <w:p w14:paraId="5C0889F1">
      <w:pPr>
        <w:jc w:val="center"/>
        <w:rPr>
          <w:rFonts w:hint="eastAsia" w:ascii="仿宋" w:hAnsi="仿宋" w:eastAsia="仿宋" w:cs="仿宋"/>
          <w:b/>
          <w:color w:val="auto"/>
          <w:sz w:val="24"/>
          <w:szCs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278B230C">
      <w:pPr>
        <w:spacing w:before="120" w:beforeLines="50" w:after="120" w:afterLines="50" w:line="276"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第三部分、采购需求响应程度</w:t>
      </w:r>
      <w:bookmarkStart w:id="2" w:name="_Toc476514128"/>
      <w:bookmarkStart w:id="3" w:name="_Toc486424819"/>
    </w:p>
    <w:p w14:paraId="54FE56EB">
      <w:pPr>
        <w:pStyle w:val="11"/>
        <w:rPr>
          <w:rFonts w:hint="eastAsia" w:ascii="仿宋" w:hAnsi="仿宋" w:eastAsia="仿宋" w:cs="仿宋"/>
          <w:color w:val="auto"/>
          <w:sz w:val="24"/>
          <w:szCs w:val="24"/>
          <w:lang w:eastAsia="zh-CN"/>
        </w:rPr>
      </w:pPr>
    </w:p>
    <w:p w14:paraId="183F5001">
      <w:pPr>
        <w:spacing w:before="120" w:beforeLines="50" w:after="120" w:afterLines="50" w:line="276"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采购需求响应/偏离表</w:t>
      </w:r>
    </w:p>
    <w:p w14:paraId="62A95FFC">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项目编号：                    项目名称：                     包号：</w:t>
      </w:r>
    </w:p>
    <w:tbl>
      <w:tblPr>
        <w:tblStyle w:val="7"/>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AFE9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855A64">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bCs/>
                <w:color w:val="auto"/>
                <w:sz w:val="24"/>
                <w:szCs w:val="24"/>
              </w:rPr>
              <w:t>序</w:t>
            </w:r>
            <w:r>
              <w:rPr>
                <w:rFonts w:hint="eastAsia" w:ascii="仿宋" w:hAnsi="仿宋" w:eastAsia="仿宋" w:cs="仿宋"/>
                <w:color w:val="auto"/>
                <w:sz w:val="24"/>
                <w:szCs w:val="24"/>
              </w:rPr>
              <w:t>号</w:t>
            </w:r>
          </w:p>
        </w:tc>
        <w:tc>
          <w:tcPr>
            <w:tcW w:w="1123" w:type="pct"/>
            <w:noWrap w:val="0"/>
            <w:vAlign w:val="center"/>
          </w:tcPr>
          <w:p w14:paraId="4C398DFE">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招标文件章节</w:t>
            </w:r>
            <w:r>
              <w:rPr>
                <w:rFonts w:hint="eastAsia" w:ascii="仿宋" w:hAnsi="仿宋" w:eastAsia="仿宋" w:cs="仿宋"/>
                <w:bCs/>
                <w:color w:val="auto"/>
                <w:sz w:val="24"/>
                <w:szCs w:val="24"/>
              </w:rPr>
              <w:t>条</w:t>
            </w:r>
            <w:r>
              <w:rPr>
                <w:rFonts w:hint="eastAsia" w:ascii="仿宋" w:hAnsi="仿宋" w:eastAsia="仿宋" w:cs="仿宋"/>
                <w:color w:val="auto"/>
                <w:sz w:val="24"/>
                <w:szCs w:val="24"/>
              </w:rPr>
              <w:t>款号</w:t>
            </w:r>
          </w:p>
        </w:tc>
        <w:tc>
          <w:tcPr>
            <w:tcW w:w="1000" w:type="pct"/>
            <w:noWrap w:val="0"/>
            <w:vAlign w:val="top"/>
          </w:tcPr>
          <w:p w14:paraId="421C1418">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招标文件要求</w:t>
            </w:r>
          </w:p>
        </w:tc>
        <w:tc>
          <w:tcPr>
            <w:tcW w:w="962" w:type="pct"/>
            <w:noWrap w:val="0"/>
            <w:vAlign w:val="top"/>
          </w:tcPr>
          <w:p w14:paraId="2FC388AC">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投标文件应答</w:t>
            </w:r>
          </w:p>
        </w:tc>
        <w:tc>
          <w:tcPr>
            <w:tcW w:w="905" w:type="pct"/>
            <w:noWrap w:val="0"/>
            <w:vAlign w:val="center"/>
          </w:tcPr>
          <w:p w14:paraId="4D187CAD">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响应/偏离</w:t>
            </w:r>
          </w:p>
        </w:tc>
        <w:tc>
          <w:tcPr>
            <w:tcW w:w="634" w:type="pct"/>
            <w:noWrap w:val="0"/>
            <w:vAlign w:val="center"/>
          </w:tcPr>
          <w:p w14:paraId="4ECE675F">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偏离说明</w:t>
            </w:r>
          </w:p>
        </w:tc>
      </w:tr>
      <w:tr w14:paraId="7CBA2F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7F830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285080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2362F44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4E2BD7E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7A14580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3023B53B">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3B5AD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EDA484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588214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74C1064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362F2D3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05FAEB6">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42226E6E">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60AFC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DBD5707">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7E9A15CC">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5B4C296D">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11E3097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390EB91">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04310183">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0CC01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6336191">
            <w:pPr>
              <w:rPr>
                <w:rFonts w:hint="eastAsia" w:ascii="仿宋" w:hAnsi="仿宋" w:eastAsia="仿宋" w:cs="仿宋"/>
                <w:b/>
                <w:color w:val="auto"/>
                <w:sz w:val="24"/>
                <w:szCs w:val="24"/>
              </w:rPr>
            </w:pPr>
          </w:p>
        </w:tc>
      </w:tr>
    </w:tbl>
    <w:p w14:paraId="5E2305B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b/>
          <w:color w:val="auto"/>
          <w:sz w:val="24"/>
          <w:szCs w:val="24"/>
        </w:rPr>
        <w:t>备注</w:t>
      </w:r>
      <w:r>
        <w:rPr>
          <w:rFonts w:hint="eastAsia" w:ascii="仿宋" w:hAnsi="仿宋" w:eastAsia="仿宋" w:cs="仿宋"/>
          <w:color w:val="auto"/>
          <w:sz w:val="24"/>
          <w:szCs w:val="24"/>
        </w:rPr>
        <w:t>：</w:t>
      </w:r>
    </w:p>
    <w:bookmarkEnd w:id="2"/>
    <w:bookmarkEnd w:id="3"/>
    <w:p w14:paraId="00B9F19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（1）投标人应根据招标文件第</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章中采购需求填写本表，逐条应答；</w:t>
      </w:r>
    </w:p>
    <w:p w14:paraId="7A02B97E">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（2）如不提供此表，则视为投标人不满足招标文件第三章的所有条款要求，其投标无效；</w:t>
      </w:r>
    </w:p>
    <w:p w14:paraId="5B7AEB0F">
      <w:pPr>
        <w:adjustRightInd w:val="0"/>
        <w:snapToGrid w:val="0"/>
        <w:spacing w:before="50" w:line="360" w:lineRule="auto"/>
        <w:ind w:left="-88" w:leftChars="-42"/>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本项目为最低价评分法，所有参数必须全部响应，并在响应表中逐条应答，如有任何一条负偏离，则视为无效投标</w:t>
      </w:r>
    </w:p>
    <w:p w14:paraId="06724E5B">
      <w:pPr>
        <w:pStyle w:val="10"/>
        <w:rPr>
          <w:rFonts w:hint="eastAsia" w:ascii="仿宋" w:hAnsi="仿宋" w:eastAsia="仿宋" w:cs="仿宋"/>
          <w:color w:val="auto"/>
          <w:sz w:val="24"/>
          <w:szCs w:val="24"/>
        </w:rPr>
      </w:pPr>
    </w:p>
    <w:p w14:paraId="359A2A68">
      <w:pPr>
        <w:pStyle w:val="11"/>
        <w:rPr>
          <w:rFonts w:hint="eastAsia" w:ascii="仿宋" w:hAnsi="仿宋" w:eastAsia="仿宋" w:cs="仿宋"/>
          <w:color w:val="auto"/>
          <w:sz w:val="24"/>
          <w:szCs w:val="24"/>
          <w:lang w:eastAsia="zh-CN"/>
        </w:rPr>
      </w:pPr>
    </w:p>
    <w:p w14:paraId="1B0F2890">
      <w:pPr>
        <w:rPr>
          <w:rFonts w:hint="eastAsia" w:ascii="仿宋" w:hAnsi="仿宋" w:eastAsia="仿宋" w:cs="仿宋"/>
          <w:color w:val="auto"/>
          <w:sz w:val="24"/>
          <w:szCs w:val="24"/>
        </w:rPr>
      </w:pPr>
    </w:p>
    <w:p w14:paraId="1D82947A">
      <w:pPr>
        <w:rPr>
          <w:color w:val="auto"/>
        </w:rPr>
      </w:pPr>
    </w:p>
    <w:p w14:paraId="19A8E029">
      <w:pPr>
        <w:rPr>
          <w:color w:val="auto"/>
        </w:rPr>
      </w:pPr>
    </w:p>
    <w:p w14:paraId="3F97CD2E">
      <w:pPr>
        <w:rPr>
          <w:color w:val="auto"/>
        </w:rPr>
      </w:pPr>
    </w:p>
    <w:p w14:paraId="0C068D16"/>
    <w:p w14:paraId="5F035EC9"/>
    <w:p w14:paraId="14F2A5DF"/>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EAFD484-37F3-483B-A420-DAA1BDBA3D15}"/>
  </w:font>
  <w:font w:name="黑体">
    <w:panose1 w:val="02010609060101010101"/>
    <w:charset w:val="86"/>
    <w:family w:val="auto"/>
    <w:pitch w:val="default"/>
    <w:sig w:usb0="800002BF" w:usb1="38CF7CFA" w:usb2="00000016" w:usb3="00000000" w:csb0="00040001" w:csb1="00000000"/>
    <w:embedRegular r:id="rId2" w:fontKey="{042F976F-C550-41D6-9F89-345681F4D0A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embedRegular r:id="rId3" w:fontKey="{15CA7E2D-AAEC-414F-AF33-BD625814BE18}"/>
  </w:font>
  <w:font w:name="仿宋">
    <w:panose1 w:val="02010609060101010101"/>
    <w:charset w:val="86"/>
    <w:family w:val="auto"/>
    <w:pitch w:val="default"/>
    <w:sig w:usb0="800002BF" w:usb1="38CF7CFA" w:usb2="00000016" w:usb3="00000000" w:csb0="00040001" w:csb1="00000000"/>
    <w:embedRegular r:id="rId4" w:fontKey="{5107FF70-CE2E-4A8E-8C99-0CAC5E52BFA4}"/>
  </w:font>
  <w:font w:name="微软雅黑">
    <w:panose1 w:val="020B0503020204020204"/>
    <w:charset w:val="86"/>
    <w:family w:val="auto"/>
    <w:pitch w:val="default"/>
    <w:sig w:usb0="80000287" w:usb1="2ACF3C50" w:usb2="00000016" w:usb3="00000000" w:csb0="0004001F" w:csb1="00000000"/>
    <w:embedRegular r:id="rId5" w:fontKey="{E0F64B35-ADB4-4D06-B211-409E4C74300C}"/>
  </w:font>
  <w:font w:name="方正小标宋简体">
    <w:panose1 w:val="02000000000000000000"/>
    <w:charset w:val="86"/>
    <w:family w:val="auto"/>
    <w:pitch w:val="default"/>
    <w:sig w:usb0="00000001" w:usb1="08000000" w:usb2="00000000" w:usb3="00000000" w:csb0="00040000" w:csb1="00000000"/>
    <w:embedRegular r:id="rId6" w:fontKey="{0F2D0907-F3C9-4FCD-A71F-B0EB475054B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125E">
    <w:pPr>
      <w:pStyle w:val="4"/>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814F5">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6814F5">
                    <w:pPr>
                      <w:pStyle w:val="4"/>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4EA276C6">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4AB5">
    <w:pPr>
      <w:pStyle w:val="4"/>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B9702">
                          <w:pPr>
                            <w:pStyle w:val="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CB9702">
                    <w:pPr>
                      <w:pStyle w:val="4"/>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7DCECDE1">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8467">
    <w:pPr>
      <w:pStyle w:val="5"/>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6C49A6"/>
    <w:rsid w:val="10AD7440"/>
    <w:rsid w:val="246C49A6"/>
    <w:rsid w:val="4C97338B"/>
    <w:rsid w:val="517F097E"/>
    <w:rsid w:val="582744A9"/>
    <w:rsid w:val="68CA5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kern w:val="0"/>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customStyle="1" w:styleId="9">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0">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
    <w:name w:val="列出段落1"/>
    <w:basedOn w:val="1"/>
    <w:autoRedefine/>
    <w:qFormat/>
    <w:uiPriority w:val="99"/>
    <w:pPr>
      <w:ind w:firstLine="420" w:firstLineChars="200"/>
    </w:pPr>
  </w:style>
  <w:style w:type="character" w:customStyle="1" w:styleId="12">
    <w:name w:val="font41"/>
    <w:basedOn w:val="8"/>
    <w:qFormat/>
    <w:uiPriority w:val="0"/>
    <w:rPr>
      <w:rFonts w:hint="eastAsia" w:ascii="微软雅黑" w:hAnsi="微软雅黑" w:eastAsia="微软雅黑" w:cs="微软雅黑"/>
      <w:color w:val="FF0000"/>
      <w:sz w:val="18"/>
      <w:szCs w:val="18"/>
      <w:u w:val="none"/>
    </w:rPr>
  </w:style>
  <w:style w:type="character" w:customStyle="1" w:styleId="13">
    <w:name w:val="font31"/>
    <w:basedOn w:val="8"/>
    <w:qFormat/>
    <w:uiPriority w:val="0"/>
    <w:rPr>
      <w:rFonts w:hint="eastAsia" w:ascii="微软雅黑" w:hAnsi="微软雅黑" w:eastAsia="微软雅黑" w:cs="微软雅黑"/>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7853</Words>
  <Characters>8362</Characters>
  <Lines>0</Lines>
  <Paragraphs>0</Paragraphs>
  <TotalTime>0</TotalTime>
  <ScaleCrop>false</ScaleCrop>
  <LinksUpToDate>false</LinksUpToDate>
  <CharactersWithSpaces>9354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2025-09-18T00:24:00Z</dcterms:created>
  <dc:creator>胡涛</dc:creator>
  <cp:lastModifiedBy>Administrator</cp:lastModifiedBy>
  <dcterms:modified xsi:type="dcterms:W3CDTF">2025-10-10T08:27:01Z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353DC21E39714C27A67692E455787CD4_13</vt:lpwstr>
  </property>
  <property fmtid="{D5CDD505-2E9C-101B-9397-08002B2CF9AE}" pid="4" name="KSOTemplateDocerSaveRecord">
    <vt:lpwstr>eyJoZGlkIjoiMjI0YzkyZjA4NDE5ZWViZGEyZTVjOTNhYTg4ZmYzYTcifQ==</vt:lpwstr>
  </property>
</Properties>
</file>