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7AB1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本采购项目的权值见下表</w:t>
      </w:r>
    </w:p>
    <w:tbl>
      <w:tblPr>
        <w:tblStyle w:val="7"/>
        <w:tblW w:w="882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14:paraId="2F98C7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720" w:type="dxa"/>
            <w:tcBorders>
              <w:top w:val="double" w:color="auto" w:sz="4" w:space="0"/>
              <w:left w:val="double" w:color="auto" w:sz="4" w:space="0"/>
              <w:bottom w:val="single" w:color="auto" w:sz="6" w:space="0"/>
              <w:right w:val="single" w:color="auto" w:sz="6" w:space="0"/>
            </w:tcBorders>
            <w:vAlign w:val="center"/>
          </w:tcPr>
          <w:p w14:paraId="54BC1FA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4680" w:type="dxa"/>
            <w:tcBorders>
              <w:top w:val="double" w:color="auto" w:sz="4" w:space="0"/>
              <w:left w:val="single" w:color="auto" w:sz="6" w:space="0"/>
              <w:bottom w:val="single" w:color="auto" w:sz="6" w:space="0"/>
              <w:right w:val="single" w:color="auto" w:sz="6" w:space="0"/>
            </w:tcBorders>
            <w:vAlign w:val="center"/>
          </w:tcPr>
          <w:p w14:paraId="44942BC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     目</w:t>
            </w:r>
          </w:p>
        </w:tc>
        <w:tc>
          <w:tcPr>
            <w:tcW w:w="3420" w:type="dxa"/>
            <w:tcBorders>
              <w:top w:val="double" w:color="auto" w:sz="4" w:space="0"/>
              <w:left w:val="single" w:color="auto" w:sz="6" w:space="0"/>
              <w:bottom w:val="single" w:color="auto" w:sz="6" w:space="0"/>
              <w:right w:val="double" w:color="auto" w:sz="4" w:space="0"/>
            </w:tcBorders>
            <w:vAlign w:val="center"/>
          </w:tcPr>
          <w:p w14:paraId="1315ADE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权值的取值</w:t>
            </w:r>
          </w:p>
        </w:tc>
      </w:tr>
      <w:tr w14:paraId="749A52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14:paraId="6F4E3BB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4680" w:type="dxa"/>
            <w:tcBorders>
              <w:top w:val="single" w:color="auto" w:sz="6" w:space="0"/>
              <w:left w:val="single" w:color="auto" w:sz="6" w:space="0"/>
              <w:bottom w:val="single" w:color="auto" w:sz="6" w:space="0"/>
              <w:right w:val="single" w:color="auto" w:sz="6" w:space="0"/>
            </w:tcBorders>
            <w:vAlign w:val="center"/>
          </w:tcPr>
          <w:p w14:paraId="2A30B18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报价（A1）</w:t>
            </w:r>
          </w:p>
        </w:tc>
        <w:tc>
          <w:tcPr>
            <w:tcW w:w="3420" w:type="dxa"/>
            <w:tcBorders>
              <w:top w:val="single" w:color="auto" w:sz="6" w:space="0"/>
              <w:left w:val="single" w:color="auto" w:sz="6" w:space="0"/>
              <w:bottom w:val="single" w:color="auto" w:sz="6" w:space="0"/>
              <w:right w:val="double" w:color="auto" w:sz="4" w:space="0"/>
            </w:tcBorders>
            <w:vAlign w:val="center"/>
          </w:tcPr>
          <w:p w14:paraId="45D1CFD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50%（设备10%+专机耗材40%）</w:t>
            </w:r>
          </w:p>
        </w:tc>
      </w:tr>
      <w:tr w14:paraId="05D80E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14:paraId="01B6E69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4680" w:type="dxa"/>
            <w:tcBorders>
              <w:top w:val="single" w:color="auto" w:sz="6" w:space="0"/>
              <w:left w:val="single" w:color="auto" w:sz="6" w:space="0"/>
              <w:bottom w:val="single" w:color="auto" w:sz="6" w:space="0"/>
              <w:right w:val="single" w:color="auto" w:sz="6" w:space="0"/>
            </w:tcBorders>
            <w:vAlign w:val="center"/>
          </w:tcPr>
          <w:p w14:paraId="5C332B3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技术（A2）</w:t>
            </w:r>
          </w:p>
        </w:tc>
        <w:tc>
          <w:tcPr>
            <w:tcW w:w="3420" w:type="dxa"/>
            <w:tcBorders>
              <w:top w:val="single" w:color="auto" w:sz="6" w:space="0"/>
              <w:left w:val="single" w:color="auto" w:sz="6" w:space="0"/>
              <w:bottom w:val="single" w:color="auto" w:sz="6" w:space="0"/>
              <w:right w:val="double" w:color="auto" w:sz="4" w:space="0"/>
            </w:tcBorders>
            <w:vAlign w:val="center"/>
          </w:tcPr>
          <w:p w14:paraId="7D07920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40%</w:t>
            </w:r>
          </w:p>
        </w:tc>
      </w:tr>
      <w:tr w14:paraId="1A01F1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tcBorders>
              <w:top w:val="single" w:color="auto" w:sz="6" w:space="0"/>
              <w:left w:val="double" w:color="auto" w:sz="4" w:space="0"/>
              <w:bottom w:val="single" w:color="auto" w:sz="6" w:space="0"/>
              <w:right w:val="single" w:color="auto" w:sz="6" w:space="0"/>
            </w:tcBorders>
            <w:vAlign w:val="center"/>
          </w:tcPr>
          <w:p w14:paraId="68F20CBC">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4680" w:type="dxa"/>
            <w:tcBorders>
              <w:top w:val="single" w:color="auto" w:sz="6" w:space="0"/>
              <w:left w:val="single" w:color="auto" w:sz="6" w:space="0"/>
              <w:bottom w:val="single" w:color="auto" w:sz="6" w:space="0"/>
              <w:right w:val="single" w:color="auto" w:sz="6" w:space="0"/>
            </w:tcBorders>
            <w:vAlign w:val="center"/>
          </w:tcPr>
          <w:p w14:paraId="5495DED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商务（A3）</w:t>
            </w:r>
          </w:p>
        </w:tc>
        <w:tc>
          <w:tcPr>
            <w:tcW w:w="3420" w:type="dxa"/>
            <w:tcBorders>
              <w:top w:val="single" w:color="auto" w:sz="6" w:space="0"/>
              <w:left w:val="single" w:color="auto" w:sz="6" w:space="0"/>
              <w:bottom w:val="single" w:color="auto" w:sz="6" w:space="0"/>
              <w:right w:val="double" w:color="auto" w:sz="4" w:space="0"/>
            </w:tcBorders>
            <w:vAlign w:val="center"/>
          </w:tcPr>
          <w:p w14:paraId="50724DA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r>
      <w:tr w14:paraId="1FA255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5400" w:type="dxa"/>
            <w:gridSpan w:val="2"/>
            <w:tcBorders>
              <w:top w:val="single" w:color="auto" w:sz="6" w:space="0"/>
              <w:left w:val="double" w:color="auto" w:sz="4" w:space="0"/>
              <w:bottom w:val="double" w:color="auto" w:sz="4" w:space="0"/>
              <w:right w:val="single" w:color="auto" w:sz="6" w:space="0"/>
            </w:tcBorders>
            <w:vAlign w:val="center"/>
          </w:tcPr>
          <w:p w14:paraId="4CCB3EF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合计</w:t>
            </w:r>
          </w:p>
        </w:tc>
        <w:tc>
          <w:tcPr>
            <w:tcW w:w="3420" w:type="dxa"/>
            <w:tcBorders>
              <w:top w:val="single" w:color="auto" w:sz="6" w:space="0"/>
              <w:left w:val="single" w:color="auto" w:sz="6" w:space="0"/>
              <w:bottom w:val="double" w:color="auto" w:sz="4" w:space="0"/>
              <w:right w:val="double" w:color="auto" w:sz="4" w:space="0"/>
            </w:tcBorders>
            <w:vAlign w:val="center"/>
          </w:tcPr>
          <w:p w14:paraId="0EEB6C3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r>
    </w:tbl>
    <w:p w14:paraId="31C8D8A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附表1.1投标报价评审标准表</w:t>
      </w:r>
    </w:p>
    <w:tbl>
      <w:tblPr>
        <w:tblStyle w:val="7"/>
        <w:tblW w:w="891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2"/>
        <w:gridCol w:w="2159"/>
        <w:gridCol w:w="6249"/>
      </w:tblGrid>
      <w:tr w14:paraId="0BAD1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2" w:type="dxa"/>
            <w:tcBorders>
              <w:top w:val="double" w:color="auto" w:sz="4" w:space="0"/>
              <w:left w:val="double" w:color="auto" w:sz="4" w:space="0"/>
              <w:bottom w:val="single" w:color="auto" w:sz="6" w:space="0"/>
              <w:right w:val="single" w:color="auto" w:sz="4" w:space="0"/>
            </w:tcBorders>
            <w:vAlign w:val="center"/>
          </w:tcPr>
          <w:p w14:paraId="23DDAB9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2159" w:type="dxa"/>
            <w:tcBorders>
              <w:top w:val="double" w:color="auto" w:sz="4" w:space="0"/>
              <w:left w:val="single" w:color="auto" w:sz="4" w:space="0"/>
              <w:bottom w:val="single" w:color="auto" w:sz="6" w:space="0"/>
              <w:right w:val="single" w:color="auto" w:sz="4" w:space="0"/>
            </w:tcBorders>
            <w:vAlign w:val="center"/>
          </w:tcPr>
          <w:p w14:paraId="4282B47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评标因素（分值）</w:t>
            </w:r>
          </w:p>
        </w:tc>
        <w:tc>
          <w:tcPr>
            <w:tcW w:w="6249" w:type="dxa"/>
            <w:tcBorders>
              <w:top w:val="double" w:color="auto" w:sz="4" w:space="0"/>
              <w:left w:val="single" w:color="auto" w:sz="4" w:space="0"/>
              <w:bottom w:val="single" w:color="auto" w:sz="6" w:space="0"/>
              <w:right w:val="double" w:color="auto" w:sz="4" w:space="0"/>
            </w:tcBorders>
            <w:vAlign w:val="center"/>
          </w:tcPr>
          <w:p w14:paraId="26D7A4A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评标标准</w:t>
            </w:r>
          </w:p>
        </w:tc>
      </w:tr>
      <w:tr w14:paraId="7B4075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502" w:type="dxa"/>
            <w:tcBorders>
              <w:top w:val="single" w:color="auto" w:sz="6" w:space="0"/>
              <w:left w:val="double" w:color="auto" w:sz="4" w:space="0"/>
              <w:bottom w:val="single" w:color="auto" w:sz="6" w:space="0"/>
              <w:right w:val="single" w:color="auto" w:sz="4" w:space="0"/>
            </w:tcBorders>
            <w:vAlign w:val="center"/>
          </w:tcPr>
          <w:p w14:paraId="47D6B74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159" w:type="dxa"/>
            <w:tcBorders>
              <w:top w:val="single" w:color="auto" w:sz="6" w:space="0"/>
              <w:left w:val="single" w:color="auto" w:sz="4" w:space="0"/>
              <w:bottom w:val="single" w:color="auto" w:sz="6" w:space="0"/>
              <w:right w:val="single" w:color="auto" w:sz="4" w:space="0"/>
            </w:tcBorders>
            <w:vAlign w:val="center"/>
          </w:tcPr>
          <w:p w14:paraId="19895A6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价格评价项</w:t>
            </w:r>
          </w:p>
          <w:p w14:paraId="71CB5E8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（F=100分）</w:t>
            </w:r>
          </w:p>
        </w:tc>
        <w:tc>
          <w:tcPr>
            <w:tcW w:w="6249" w:type="dxa"/>
            <w:tcBorders>
              <w:top w:val="single" w:color="auto" w:sz="6" w:space="0"/>
              <w:left w:val="single" w:color="auto" w:sz="4" w:space="0"/>
              <w:bottom w:val="single" w:color="auto" w:sz="6" w:space="0"/>
              <w:right w:val="double" w:color="auto" w:sz="4" w:space="0"/>
            </w:tcBorders>
            <w:vAlign w:val="center"/>
          </w:tcPr>
          <w:p w14:paraId="46516607">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1、投标报价调整（扶持中小企业发展优惠政策、监狱企业、残疾人福利性单位优惠政策）：本项目的具体扣除比例详见第二章。</w:t>
            </w:r>
          </w:p>
          <w:p w14:paraId="30894A07">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满足招标文件要求且投标报价中最低的投标报价为评标基准价其价格分为满分；设备价格权值占比为45%，专机专用耗材价格权值占比为5%；报价总分＝设备报价得分＋专机专用耗材报价得分。投标人的价格分统一按照以下公式计算：</w:t>
            </w:r>
          </w:p>
          <w:p w14:paraId="659E3B70">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设备投标报价得分=（评标基准价/投标报价）×价格权值×100</w:t>
            </w:r>
          </w:p>
          <w:p w14:paraId="11E89F40">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专机专用耗材投标报价得分=（评标基准价/投标报价）×价格权值×100</w:t>
            </w:r>
          </w:p>
          <w:p w14:paraId="13CE90AE">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ECEB0AB">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4、最终投标价以人民币元为单位，计算保留至小数点后2位（百分比亦然），小数点后第3位采取4舍5入。</w:t>
            </w:r>
          </w:p>
        </w:tc>
      </w:tr>
      <w:tr w14:paraId="1D7465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2" w:type="dxa"/>
            <w:tcBorders>
              <w:top w:val="single" w:color="auto" w:sz="6" w:space="0"/>
              <w:left w:val="double" w:color="auto" w:sz="4" w:space="0"/>
              <w:bottom w:val="single" w:color="auto" w:sz="6" w:space="0"/>
              <w:right w:val="single" w:color="auto" w:sz="4" w:space="0"/>
            </w:tcBorders>
            <w:vAlign w:val="center"/>
          </w:tcPr>
          <w:p w14:paraId="434974C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2159" w:type="dxa"/>
            <w:tcBorders>
              <w:top w:val="single" w:color="auto" w:sz="6" w:space="0"/>
              <w:left w:val="single" w:color="auto" w:sz="4" w:space="0"/>
              <w:bottom w:val="single" w:color="auto" w:sz="6" w:space="0"/>
              <w:right w:val="single" w:color="auto" w:sz="6" w:space="0"/>
            </w:tcBorders>
            <w:vAlign w:val="center"/>
          </w:tcPr>
          <w:p w14:paraId="20580AC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优先采购加分（F优先采购加分）</w:t>
            </w:r>
          </w:p>
        </w:tc>
        <w:tc>
          <w:tcPr>
            <w:tcW w:w="6249" w:type="dxa"/>
            <w:tcBorders>
              <w:top w:val="single" w:color="auto" w:sz="6" w:space="0"/>
              <w:left w:val="single" w:color="auto" w:sz="6" w:space="0"/>
              <w:bottom w:val="single" w:color="auto" w:sz="4" w:space="0"/>
              <w:right w:val="double" w:color="auto" w:sz="4" w:space="0"/>
            </w:tcBorders>
            <w:vAlign w:val="center"/>
          </w:tcPr>
          <w:p w14:paraId="51568EF4">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节能产品或环境标志产品加分(此仅限于节能产品或环境标志政府采购品目清单内产品，不是品目清单内的产品，在评审时不予以考虑)：</w:t>
            </w:r>
          </w:p>
          <w:p w14:paraId="6DD6A827">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所投节能产品或环境标志产品的价格</w:t>
            </w:r>
          </w:p>
          <w:p w14:paraId="4F9EABD4">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————————×价格权值×100×本项目加分比例= 应加分数</w:t>
            </w:r>
          </w:p>
          <w:p w14:paraId="74B712A6">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项目总价格</w:t>
            </w:r>
          </w:p>
          <w:p w14:paraId="3C23641E">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注：整包中某一品目为节能、环境标志政府采购品目清单内产品时只对该品目报价加分，并合计到报价最终得分。</w:t>
            </w:r>
          </w:p>
        </w:tc>
      </w:tr>
      <w:tr w14:paraId="13528F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2" w:type="dxa"/>
            <w:tcBorders>
              <w:top w:val="single" w:color="auto" w:sz="6" w:space="0"/>
              <w:left w:val="double" w:color="auto" w:sz="4" w:space="0"/>
              <w:bottom w:val="double" w:color="auto" w:sz="4" w:space="0"/>
              <w:right w:val="single" w:color="auto" w:sz="4" w:space="0"/>
            </w:tcBorders>
            <w:vAlign w:val="center"/>
          </w:tcPr>
          <w:p w14:paraId="7D98569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8408" w:type="dxa"/>
            <w:gridSpan w:val="2"/>
            <w:tcBorders>
              <w:top w:val="single" w:color="auto" w:sz="6" w:space="0"/>
              <w:left w:val="single" w:color="auto" w:sz="4" w:space="0"/>
              <w:bottom w:val="double" w:color="auto" w:sz="4" w:space="0"/>
              <w:right w:val="double" w:color="auto" w:sz="4" w:space="0"/>
            </w:tcBorders>
            <w:vAlign w:val="center"/>
          </w:tcPr>
          <w:p w14:paraId="077A3AE6">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F1=F+ F优先采购加分</w:t>
            </w:r>
          </w:p>
        </w:tc>
      </w:tr>
    </w:tbl>
    <w:p w14:paraId="559AEF62">
      <w:pPr>
        <w:jc w:val="center"/>
        <w:rPr>
          <w:rFonts w:hint="eastAsia" w:ascii="仿宋" w:hAnsi="仿宋" w:eastAsia="仿宋" w:cs="仿宋"/>
          <w:sz w:val="24"/>
          <w:szCs w:val="24"/>
          <w:lang w:val="en-US" w:eastAsia="zh-CN"/>
        </w:rPr>
      </w:pPr>
    </w:p>
    <w:p w14:paraId="21D41EFA">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11D42FB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附表1.2技术部分评审标准表</w:t>
      </w:r>
    </w:p>
    <w:tbl>
      <w:tblPr>
        <w:tblStyle w:val="7"/>
        <w:tblW w:w="89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773"/>
        <w:gridCol w:w="772"/>
        <w:gridCol w:w="4732"/>
      </w:tblGrid>
      <w:tr w14:paraId="02D67D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top w:val="double" w:color="auto" w:sz="4" w:space="0"/>
              <w:left w:val="double" w:color="auto" w:sz="4" w:space="0"/>
              <w:bottom w:val="single" w:color="auto" w:sz="6" w:space="0"/>
              <w:right w:val="single" w:color="auto" w:sz="4" w:space="0"/>
            </w:tcBorders>
            <w:vAlign w:val="center"/>
          </w:tcPr>
          <w:p w14:paraId="34A8A55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2160" w:type="dxa"/>
            <w:tcBorders>
              <w:top w:val="double" w:color="auto" w:sz="4" w:space="0"/>
              <w:left w:val="single" w:color="auto" w:sz="4" w:space="0"/>
              <w:bottom w:val="single" w:color="auto" w:sz="6" w:space="0"/>
              <w:right w:val="single" w:color="auto" w:sz="4" w:space="0"/>
            </w:tcBorders>
            <w:vAlign w:val="center"/>
          </w:tcPr>
          <w:p w14:paraId="6B4B6D9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评标因素（分值）</w:t>
            </w:r>
          </w:p>
        </w:tc>
        <w:tc>
          <w:tcPr>
            <w:tcW w:w="6277" w:type="dxa"/>
            <w:gridSpan w:val="3"/>
            <w:tcBorders>
              <w:top w:val="double" w:color="auto" w:sz="4" w:space="0"/>
              <w:left w:val="single" w:color="auto" w:sz="4" w:space="0"/>
              <w:bottom w:val="single" w:color="auto" w:sz="6" w:space="0"/>
              <w:right w:val="double" w:color="auto" w:sz="4" w:space="0"/>
            </w:tcBorders>
            <w:vAlign w:val="center"/>
          </w:tcPr>
          <w:p w14:paraId="2924E7E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评标标准</w:t>
            </w:r>
          </w:p>
        </w:tc>
      </w:tr>
      <w:tr w14:paraId="273C25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tcBorders>
              <w:top w:val="single" w:color="auto" w:sz="6" w:space="0"/>
              <w:left w:val="double" w:color="auto" w:sz="4" w:space="0"/>
              <w:bottom w:val="single" w:color="auto" w:sz="6" w:space="0"/>
              <w:right w:val="single" w:color="auto" w:sz="4" w:space="0"/>
            </w:tcBorders>
            <w:vAlign w:val="center"/>
          </w:tcPr>
          <w:p w14:paraId="02B3EED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160" w:type="dxa"/>
            <w:tcBorders>
              <w:top w:val="single" w:color="auto" w:sz="6" w:space="0"/>
              <w:left w:val="single" w:color="auto" w:sz="4" w:space="0"/>
              <w:bottom w:val="single" w:color="auto" w:sz="6" w:space="0"/>
              <w:right w:val="single" w:color="auto" w:sz="6" w:space="0"/>
            </w:tcBorders>
            <w:vAlign w:val="center"/>
          </w:tcPr>
          <w:p w14:paraId="4639615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技术评价项</w:t>
            </w:r>
          </w:p>
          <w:p w14:paraId="711B320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（F=100分）</w:t>
            </w:r>
          </w:p>
        </w:tc>
        <w:tc>
          <w:tcPr>
            <w:tcW w:w="773" w:type="dxa"/>
            <w:tcBorders>
              <w:top w:val="single" w:color="auto" w:sz="6" w:space="0"/>
              <w:left w:val="single" w:color="auto" w:sz="6" w:space="0"/>
              <w:bottom w:val="single" w:color="auto" w:sz="6" w:space="0"/>
              <w:right w:val="single" w:color="auto" w:sz="4" w:space="0"/>
            </w:tcBorders>
            <w:vAlign w:val="center"/>
          </w:tcPr>
          <w:p w14:paraId="409DDC1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技术参数</w:t>
            </w:r>
          </w:p>
        </w:tc>
        <w:tc>
          <w:tcPr>
            <w:tcW w:w="772" w:type="dxa"/>
            <w:tcBorders>
              <w:top w:val="single" w:color="auto" w:sz="6" w:space="0"/>
              <w:left w:val="single" w:color="auto" w:sz="4" w:space="0"/>
              <w:bottom w:val="single" w:color="auto" w:sz="6" w:space="0"/>
              <w:right w:val="single" w:color="auto" w:sz="6" w:space="0"/>
            </w:tcBorders>
            <w:vAlign w:val="center"/>
          </w:tcPr>
          <w:p w14:paraId="42FF8B2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100</w:t>
            </w:r>
          </w:p>
        </w:tc>
        <w:tc>
          <w:tcPr>
            <w:tcW w:w="4732" w:type="dxa"/>
            <w:tcBorders>
              <w:top w:val="single" w:color="auto" w:sz="6" w:space="0"/>
              <w:left w:val="single" w:color="auto" w:sz="6" w:space="0"/>
              <w:bottom w:val="single" w:color="auto" w:sz="6" w:space="0"/>
              <w:right w:val="double" w:color="auto" w:sz="4" w:space="0"/>
            </w:tcBorders>
            <w:vAlign w:val="center"/>
          </w:tcPr>
          <w:p w14:paraId="53790ECC">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投标文件无技术条款响应/偏离表的本项计0分；</w:t>
            </w:r>
          </w:p>
          <w:p w14:paraId="38A25B66">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1、技术参数满足招标文件要求无负偏离的本项计100分；</w:t>
            </w:r>
          </w:p>
          <w:p w14:paraId="00DAD475">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2、标注“▲”的参数为重要参数，每一项负偏离或缺漏扣10分；</w:t>
            </w:r>
          </w:p>
          <w:p w14:paraId="2E8F31DB">
            <w:pPr>
              <w:jc w:val="left"/>
              <w:rPr>
                <w:rFonts w:hint="default"/>
                <w:lang w:val="en-US" w:eastAsia="zh-CN"/>
              </w:rPr>
            </w:pPr>
            <w:r>
              <w:rPr>
                <w:rFonts w:hint="eastAsia" w:ascii="仿宋" w:hAnsi="仿宋" w:eastAsia="仿宋" w:cs="仿宋"/>
                <w:sz w:val="24"/>
                <w:szCs w:val="24"/>
                <w:lang w:val="en-US" w:eastAsia="zh-CN"/>
              </w:rPr>
              <w:t>3、一般技术参数（即非“★”非“▲”号参数）存在负偏离，每条负偏离扣6分。</w:t>
            </w:r>
          </w:p>
          <w:p w14:paraId="6B1205F2">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标注“▲”技术参数以及技术规格中要求该项参数提供有关证明文件的一般参数，投标人应提供证明材料，包括但不限于技术白皮书、产品彩页、检测报告等形式。如无相关证明文件或相关证明文件不完整，则按相应负偏离计算；此项只做评分因素，不做废标条件）</w:t>
            </w:r>
          </w:p>
        </w:tc>
      </w:tr>
      <w:tr w14:paraId="18A283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top w:val="single" w:color="auto" w:sz="6" w:space="0"/>
              <w:left w:val="double" w:color="auto" w:sz="4" w:space="0"/>
              <w:bottom w:val="single" w:color="auto" w:sz="6" w:space="0"/>
              <w:right w:val="single" w:color="auto" w:sz="4" w:space="0"/>
            </w:tcBorders>
            <w:vAlign w:val="center"/>
          </w:tcPr>
          <w:p w14:paraId="13650A5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2160" w:type="dxa"/>
            <w:tcBorders>
              <w:top w:val="single" w:color="auto" w:sz="6" w:space="0"/>
              <w:left w:val="single" w:color="auto" w:sz="4" w:space="0"/>
              <w:bottom w:val="single" w:color="auto" w:sz="6" w:space="0"/>
              <w:right w:val="single" w:color="auto" w:sz="6" w:space="0"/>
            </w:tcBorders>
            <w:vAlign w:val="center"/>
          </w:tcPr>
          <w:p w14:paraId="2642158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优先采购加分（F优先采购加分）</w:t>
            </w:r>
          </w:p>
        </w:tc>
        <w:tc>
          <w:tcPr>
            <w:tcW w:w="6277" w:type="dxa"/>
            <w:gridSpan w:val="3"/>
            <w:tcBorders>
              <w:top w:val="single" w:color="auto" w:sz="6" w:space="0"/>
              <w:left w:val="single" w:color="auto" w:sz="6" w:space="0"/>
              <w:bottom w:val="single" w:color="auto" w:sz="4" w:space="0"/>
              <w:right w:val="double" w:color="auto" w:sz="4" w:space="0"/>
            </w:tcBorders>
            <w:vAlign w:val="center"/>
          </w:tcPr>
          <w:p w14:paraId="2865B23F">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节能产品或环境标志产品加分(此仅限于节能产品或环境标志政府采购品目清单内产品，不是品目清单内的产品，在评审时不予加分)：</w:t>
            </w:r>
          </w:p>
          <w:p w14:paraId="4BD1DA88">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所投节能产品或环境标志产品的价格</w:t>
            </w:r>
          </w:p>
          <w:p w14:paraId="180E117F">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——————×技术权值×100×本项目加分比例= 应加分数</w:t>
            </w:r>
          </w:p>
          <w:p w14:paraId="2A7B2B4C">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项目总价格</w:t>
            </w:r>
          </w:p>
          <w:p w14:paraId="5FCB7DFE">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注：整包中某一品目为节能、环境标志政府采购品目清单内产品时只对该品目技术加分，并合计到技术最终得分。</w:t>
            </w:r>
          </w:p>
        </w:tc>
      </w:tr>
      <w:tr w14:paraId="206931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top w:val="single" w:color="auto" w:sz="6" w:space="0"/>
              <w:left w:val="double" w:color="auto" w:sz="4" w:space="0"/>
              <w:bottom w:val="double" w:color="auto" w:sz="4" w:space="0"/>
              <w:right w:val="single" w:color="auto" w:sz="4" w:space="0"/>
            </w:tcBorders>
            <w:vAlign w:val="center"/>
          </w:tcPr>
          <w:p w14:paraId="170FF68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8437" w:type="dxa"/>
            <w:gridSpan w:val="4"/>
            <w:tcBorders>
              <w:top w:val="single" w:color="auto" w:sz="6" w:space="0"/>
              <w:left w:val="single" w:color="auto" w:sz="4" w:space="0"/>
              <w:bottom w:val="double" w:color="auto" w:sz="4" w:space="0"/>
              <w:right w:val="double" w:color="auto" w:sz="4" w:space="0"/>
            </w:tcBorders>
            <w:vAlign w:val="center"/>
          </w:tcPr>
          <w:p w14:paraId="5346F14B">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F2=F+ F优先采购加分</w:t>
            </w:r>
          </w:p>
        </w:tc>
      </w:tr>
    </w:tbl>
    <w:p w14:paraId="19E78A08">
      <w:pPr>
        <w:jc w:val="center"/>
        <w:rPr>
          <w:rFonts w:hint="eastAsia" w:ascii="仿宋" w:hAnsi="仿宋" w:eastAsia="仿宋" w:cs="仿宋"/>
          <w:sz w:val="24"/>
          <w:szCs w:val="24"/>
          <w:lang w:val="en-US" w:eastAsia="zh-CN"/>
        </w:rPr>
      </w:pPr>
    </w:p>
    <w:p w14:paraId="1F05C1D8">
      <w:pPr>
        <w:jc w:val="center"/>
        <w:rPr>
          <w:rFonts w:hint="eastAsia" w:ascii="仿宋" w:hAnsi="仿宋" w:eastAsia="仿宋" w:cs="仿宋"/>
          <w:sz w:val="24"/>
          <w:szCs w:val="24"/>
          <w:lang w:val="en-US" w:eastAsia="zh-CN"/>
        </w:rPr>
      </w:pPr>
    </w:p>
    <w:p w14:paraId="17131576">
      <w:pPr>
        <w:jc w:val="center"/>
        <w:rPr>
          <w:rFonts w:hint="eastAsia" w:ascii="仿宋" w:hAnsi="仿宋" w:eastAsia="仿宋" w:cs="仿宋"/>
          <w:sz w:val="24"/>
          <w:szCs w:val="24"/>
          <w:lang w:val="en-US" w:eastAsia="zh-CN"/>
        </w:rPr>
      </w:pPr>
    </w:p>
    <w:p w14:paraId="52E4688F">
      <w:pPr>
        <w:jc w:val="center"/>
        <w:rPr>
          <w:rFonts w:hint="eastAsia" w:ascii="仿宋" w:hAnsi="仿宋" w:eastAsia="仿宋" w:cs="仿宋"/>
          <w:sz w:val="24"/>
          <w:szCs w:val="24"/>
          <w:lang w:val="en-US" w:eastAsia="zh-CN"/>
        </w:rPr>
      </w:pPr>
    </w:p>
    <w:p w14:paraId="17925816">
      <w:pPr>
        <w:jc w:val="center"/>
        <w:rPr>
          <w:rFonts w:hint="eastAsia" w:ascii="仿宋" w:hAnsi="仿宋" w:eastAsia="仿宋" w:cs="仿宋"/>
          <w:sz w:val="24"/>
          <w:szCs w:val="24"/>
          <w:lang w:val="en-US" w:eastAsia="zh-CN"/>
        </w:rPr>
      </w:pPr>
    </w:p>
    <w:p w14:paraId="135EB2E1">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DA2AB3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附表1.3商务部分评审标准表</w:t>
      </w:r>
    </w:p>
    <w:tbl>
      <w:tblPr>
        <w:tblStyle w:val="7"/>
        <w:tblW w:w="89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946"/>
        <w:gridCol w:w="1308"/>
        <w:gridCol w:w="709"/>
        <w:gridCol w:w="4519"/>
      </w:tblGrid>
      <w:tr w14:paraId="166BB3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03" w:type="dxa"/>
            <w:tcBorders>
              <w:tl2br w:val="nil"/>
              <w:tr2bl w:val="nil"/>
            </w:tcBorders>
            <w:vAlign w:val="center"/>
          </w:tcPr>
          <w:p w14:paraId="02A368D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1946" w:type="dxa"/>
            <w:tcBorders>
              <w:tl2br w:val="nil"/>
              <w:tr2bl w:val="nil"/>
            </w:tcBorders>
            <w:vAlign w:val="center"/>
          </w:tcPr>
          <w:p w14:paraId="494973F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评标因素（分值）</w:t>
            </w:r>
          </w:p>
        </w:tc>
        <w:tc>
          <w:tcPr>
            <w:tcW w:w="6536" w:type="dxa"/>
            <w:gridSpan w:val="3"/>
            <w:tcBorders>
              <w:tl2br w:val="nil"/>
              <w:tr2bl w:val="nil"/>
            </w:tcBorders>
            <w:vAlign w:val="center"/>
          </w:tcPr>
          <w:p w14:paraId="22B2543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评标标准</w:t>
            </w:r>
          </w:p>
        </w:tc>
      </w:tr>
      <w:tr w14:paraId="3B69D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restart"/>
            <w:tcBorders>
              <w:tl2br w:val="nil"/>
              <w:tr2bl w:val="nil"/>
            </w:tcBorders>
            <w:vAlign w:val="center"/>
          </w:tcPr>
          <w:p w14:paraId="105151A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946" w:type="dxa"/>
            <w:vMerge w:val="restart"/>
            <w:tcBorders>
              <w:tl2br w:val="nil"/>
              <w:tr2bl w:val="nil"/>
            </w:tcBorders>
            <w:vAlign w:val="center"/>
          </w:tcPr>
          <w:p w14:paraId="383D7B0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商务评价项</w:t>
            </w:r>
          </w:p>
          <w:p w14:paraId="69F6C74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（F=100分）</w:t>
            </w:r>
          </w:p>
        </w:tc>
        <w:tc>
          <w:tcPr>
            <w:tcW w:w="1308" w:type="dxa"/>
            <w:tcBorders>
              <w:tl2br w:val="nil"/>
              <w:tr2bl w:val="nil"/>
            </w:tcBorders>
            <w:vAlign w:val="center"/>
          </w:tcPr>
          <w:p w14:paraId="0A17CE3C">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售后服务</w:t>
            </w:r>
          </w:p>
        </w:tc>
        <w:tc>
          <w:tcPr>
            <w:tcW w:w="709" w:type="dxa"/>
            <w:tcBorders>
              <w:tl2br w:val="nil"/>
              <w:tr2bl w:val="nil"/>
            </w:tcBorders>
            <w:vAlign w:val="center"/>
          </w:tcPr>
          <w:p w14:paraId="032D62D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w:t>
            </w:r>
          </w:p>
        </w:tc>
        <w:tc>
          <w:tcPr>
            <w:tcW w:w="4519" w:type="dxa"/>
            <w:tcBorders>
              <w:tl2br w:val="nil"/>
              <w:tr2bl w:val="nil"/>
            </w:tcBorders>
            <w:vAlign w:val="center"/>
          </w:tcPr>
          <w:p w14:paraId="3ABD8E84">
            <w:pPr>
              <w:jc w:val="left"/>
              <w:rPr>
                <w:rFonts w:hint="eastAsia" w:ascii="仿宋" w:hAnsi="仿宋" w:eastAsia="仿宋" w:cs="仿宋"/>
                <w:color w:val="FF0000"/>
                <w:sz w:val="24"/>
                <w:szCs w:val="24"/>
                <w:lang w:val="en-US" w:eastAsia="zh-CN"/>
              </w:rPr>
            </w:pPr>
            <w:r>
              <w:rPr>
                <w:rFonts w:hint="eastAsia" w:ascii="仿宋" w:hAnsi="仿宋" w:eastAsia="仿宋" w:cs="仿宋"/>
                <w:sz w:val="24"/>
                <w:szCs w:val="24"/>
              </w:rPr>
              <w:t>1、</w:t>
            </w:r>
            <w:r>
              <w:rPr>
                <w:rFonts w:hint="eastAsia" w:ascii="仿宋" w:hAnsi="仿宋" w:eastAsia="仿宋" w:cs="仿宋"/>
                <w:color w:val="FF0000"/>
                <w:sz w:val="24"/>
                <w:szCs w:val="24"/>
                <w:lang w:val="en-US" w:eastAsia="zh-CN"/>
              </w:rPr>
              <w:t>针对本项目有明确的售后服务方案，包括但不限于：①设备配送、安装、检验等；②发生故障后的补救措施及巡检服务；③售后服务维修人员详细情况；④维修的响应时间；⑤备品配件的清单及供应保障措施。</w:t>
            </w:r>
          </w:p>
          <w:p w14:paraId="6B275EC3">
            <w:pPr>
              <w:jc w:val="left"/>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7分。存在一般缺陷的每项方案得3.5分（一般缺陷是指方案内容前后不一致或前后逻辑错误或内容有缺失，不影响项目的实施）。未提供或存在重大缺陷的每项方案不得分（重大缺陷是指方案凭空编造或与采购项目和采购需求无关，无法指导项目实施）。</w:t>
            </w:r>
          </w:p>
          <w:p w14:paraId="4F72BA97">
            <w:pPr>
              <w:jc w:val="left"/>
              <w:rPr>
                <w:rFonts w:hint="eastAsia" w:ascii="仿宋" w:hAnsi="仿宋" w:eastAsia="仿宋" w:cs="仿宋"/>
                <w:sz w:val="24"/>
                <w:szCs w:val="24"/>
                <w:lang w:val="en-US" w:eastAsia="zh-CN"/>
              </w:rPr>
            </w:pPr>
            <w:r>
              <w:rPr>
                <w:rFonts w:hint="eastAsia" w:ascii="仿宋" w:hAnsi="仿宋" w:eastAsia="仿宋" w:cs="仿宋"/>
                <w:sz w:val="24"/>
                <w:szCs w:val="24"/>
              </w:rPr>
              <w:t>2、质保期在招标要求基础上再增加1年的加10分，增加2年以上的加20分，最高可加20分。</w:t>
            </w:r>
          </w:p>
        </w:tc>
      </w:tr>
      <w:tr w14:paraId="4D69F4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vAlign w:val="center"/>
          </w:tcPr>
          <w:p w14:paraId="0FE629C0">
            <w:pPr>
              <w:jc w:val="center"/>
              <w:rPr>
                <w:rFonts w:hint="eastAsia" w:ascii="仿宋" w:hAnsi="仿宋" w:eastAsia="仿宋" w:cs="仿宋"/>
                <w:sz w:val="24"/>
                <w:szCs w:val="24"/>
                <w:lang w:val="en-US" w:eastAsia="zh-CN"/>
              </w:rPr>
            </w:pPr>
          </w:p>
        </w:tc>
        <w:tc>
          <w:tcPr>
            <w:tcW w:w="1946" w:type="dxa"/>
            <w:vMerge w:val="continue"/>
            <w:tcBorders>
              <w:tl2br w:val="nil"/>
              <w:tr2bl w:val="nil"/>
            </w:tcBorders>
            <w:vAlign w:val="center"/>
          </w:tcPr>
          <w:p w14:paraId="30EDC59A">
            <w:pPr>
              <w:jc w:val="center"/>
              <w:rPr>
                <w:rFonts w:hint="eastAsia" w:ascii="仿宋" w:hAnsi="仿宋" w:eastAsia="仿宋" w:cs="仿宋"/>
                <w:sz w:val="24"/>
                <w:szCs w:val="24"/>
                <w:lang w:val="en-US" w:eastAsia="zh-CN"/>
              </w:rPr>
            </w:pPr>
          </w:p>
        </w:tc>
        <w:tc>
          <w:tcPr>
            <w:tcW w:w="1308" w:type="dxa"/>
            <w:tcBorders>
              <w:tl2br w:val="nil"/>
              <w:tr2bl w:val="nil"/>
            </w:tcBorders>
            <w:vAlign w:val="center"/>
          </w:tcPr>
          <w:p w14:paraId="7AB7E15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培训方案</w:t>
            </w:r>
          </w:p>
        </w:tc>
        <w:tc>
          <w:tcPr>
            <w:tcW w:w="709" w:type="dxa"/>
            <w:tcBorders>
              <w:tl2br w:val="nil"/>
              <w:tr2bl w:val="nil"/>
            </w:tcBorders>
            <w:vAlign w:val="center"/>
          </w:tcPr>
          <w:p w14:paraId="062AA3A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4519" w:type="dxa"/>
            <w:tcBorders>
              <w:tl2br w:val="nil"/>
              <w:tr2bl w:val="nil"/>
            </w:tcBorders>
            <w:vAlign w:val="center"/>
          </w:tcPr>
          <w:p w14:paraId="77DB104A">
            <w:pPr>
              <w:jc w:val="left"/>
              <w:rPr>
                <w:rFonts w:hint="eastAsia" w:ascii="仿宋" w:hAnsi="仿宋" w:eastAsia="仿宋" w:cs="仿宋"/>
                <w:color w:val="FF0000"/>
                <w:sz w:val="24"/>
                <w:szCs w:val="24"/>
              </w:rPr>
            </w:pPr>
            <w:r>
              <w:rPr>
                <w:rFonts w:hint="eastAsia" w:ascii="仿宋" w:hAnsi="仿宋" w:eastAsia="仿宋" w:cs="仿宋"/>
                <w:color w:val="FF0000"/>
                <w:sz w:val="24"/>
                <w:szCs w:val="24"/>
              </w:rPr>
              <w:t>针对本项目具有可行的技术培训方案，包括但不限于：①所提供设备的原理和技术性能；②操作维护方法；③安装调试、排除故障等各个方面</w:t>
            </w:r>
            <w:r>
              <w:rPr>
                <w:rFonts w:hint="eastAsia" w:ascii="仿宋" w:hAnsi="仿宋" w:eastAsia="仿宋" w:cs="仿宋"/>
                <w:color w:val="FF0000"/>
                <w:sz w:val="24"/>
                <w:szCs w:val="24"/>
                <w:lang w:eastAsia="zh-CN"/>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4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④</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rPr>
              <w:t>培训</w:t>
            </w:r>
            <w:r>
              <w:rPr>
                <w:rFonts w:hint="eastAsia" w:ascii="仿宋" w:hAnsi="仿宋" w:eastAsia="仿宋" w:cs="仿宋"/>
                <w:color w:val="FF0000"/>
                <w:sz w:val="24"/>
                <w:szCs w:val="24"/>
                <w:lang w:eastAsia="zh-CN"/>
              </w:rPr>
              <w:t>计划安排</w:t>
            </w:r>
            <w:r>
              <w:rPr>
                <w:rFonts w:hint="eastAsia" w:ascii="仿宋" w:hAnsi="仿宋" w:eastAsia="仿宋" w:cs="仿宋"/>
                <w:color w:val="FF0000"/>
                <w:sz w:val="24"/>
                <w:szCs w:val="24"/>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5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⑤</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lang w:eastAsia="zh-CN"/>
              </w:rPr>
              <w:t>培训效果</w:t>
            </w:r>
            <w:r>
              <w:rPr>
                <w:rFonts w:hint="eastAsia" w:ascii="仿宋" w:hAnsi="仿宋" w:eastAsia="仿宋" w:cs="仿宋"/>
                <w:color w:val="FF0000"/>
                <w:sz w:val="24"/>
                <w:szCs w:val="24"/>
              </w:rPr>
              <w:t>等。</w:t>
            </w:r>
          </w:p>
          <w:p w14:paraId="78E4F7D0">
            <w:pPr>
              <w:jc w:val="left"/>
              <w:rPr>
                <w:rFonts w:hint="eastAsia" w:ascii="仿宋" w:hAnsi="仿宋" w:eastAsia="仿宋" w:cs="仿宋"/>
                <w:sz w:val="24"/>
                <w:szCs w:val="24"/>
                <w:lang w:val="en-US" w:eastAsia="zh-CN"/>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3分。存在一般缺陷的每项方案得1.5分（一般缺陷是指方案内容前后不一致或前后逻辑错误或内容有缺失，不影响项目的实施）。未提供或存在重大缺陷的每项方案不得分（重大缺陷是指方案凭空编造或与采购项目和采购需求无关，无法指导项目实施）。</w:t>
            </w:r>
          </w:p>
        </w:tc>
      </w:tr>
      <w:tr w14:paraId="30F8DC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vAlign w:val="center"/>
          </w:tcPr>
          <w:p w14:paraId="56413E89">
            <w:pPr>
              <w:jc w:val="center"/>
              <w:rPr>
                <w:rFonts w:hint="eastAsia" w:ascii="仿宋" w:hAnsi="仿宋" w:eastAsia="仿宋" w:cs="仿宋"/>
                <w:sz w:val="24"/>
                <w:szCs w:val="24"/>
                <w:lang w:val="en-US" w:eastAsia="zh-CN"/>
              </w:rPr>
            </w:pPr>
          </w:p>
        </w:tc>
        <w:tc>
          <w:tcPr>
            <w:tcW w:w="1946" w:type="dxa"/>
            <w:vMerge w:val="continue"/>
            <w:tcBorders>
              <w:tl2br w:val="nil"/>
              <w:tr2bl w:val="nil"/>
            </w:tcBorders>
            <w:vAlign w:val="center"/>
          </w:tcPr>
          <w:p w14:paraId="6E67B8CD">
            <w:pPr>
              <w:jc w:val="center"/>
              <w:rPr>
                <w:rFonts w:hint="eastAsia" w:ascii="仿宋" w:hAnsi="仿宋" w:eastAsia="仿宋" w:cs="仿宋"/>
                <w:sz w:val="24"/>
                <w:szCs w:val="24"/>
                <w:lang w:val="en-US" w:eastAsia="zh-CN"/>
              </w:rPr>
            </w:pPr>
          </w:p>
        </w:tc>
        <w:tc>
          <w:tcPr>
            <w:tcW w:w="1308" w:type="dxa"/>
            <w:tcBorders>
              <w:tl2br w:val="nil"/>
              <w:tr2bl w:val="nil"/>
            </w:tcBorders>
            <w:vAlign w:val="center"/>
          </w:tcPr>
          <w:p w14:paraId="2A11A37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类似业绩</w:t>
            </w:r>
          </w:p>
        </w:tc>
        <w:tc>
          <w:tcPr>
            <w:tcW w:w="709" w:type="dxa"/>
            <w:tcBorders>
              <w:tl2br w:val="nil"/>
              <w:tr2bl w:val="nil"/>
            </w:tcBorders>
            <w:vAlign w:val="center"/>
          </w:tcPr>
          <w:p w14:paraId="1EE34E96">
            <w:pPr>
              <w:jc w:val="center"/>
              <w:rPr>
                <w:rFonts w:hint="eastAsia" w:ascii="仿宋" w:hAnsi="仿宋" w:eastAsia="仿宋" w:cs="仿宋"/>
                <w:sz w:val="24"/>
                <w:szCs w:val="24"/>
                <w:lang w:val="en-US" w:eastAsia="zh-CN"/>
              </w:rPr>
            </w:pPr>
            <w:r>
              <w:rPr>
                <w:rFonts w:hint="eastAsia" w:ascii="仿宋" w:hAnsi="仿宋" w:eastAsia="仿宋" w:cs="仿宋"/>
                <w:sz w:val="24"/>
                <w:szCs w:val="24"/>
              </w:rPr>
              <w:t>30</w:t>
            </w:r>
          </w:p>
        </w:tc>
        <w:tc>
          <w:tcPr>
            <w:tcW w:w="4519" w:type="dxa"/>
            <w:tcBorders>
              <w:tl2br w:val="nil"/>
              <w:tr2bl w:val="nil"/>
            </w:tcBorders>
            <w:vAlign w:val="center"/>
          </w:tcPr>
          <w:p w14:paraId="2A341ED2">
            <w:pPr>
              <w:jc w:val="left"/>
              <w:rPr>
                <w:rFonts w:hint="eastAsia" w:ascii="仿宋" w:hAnsi="仿宋" w:eastAsia="仿宋" w:cs="仿宋"/>
                <w:sz w:val="24"/>
                <w:szCs w:val="24"/>
                <w:lang w:val="en-US" w:eastAsia="zh-CN"/>
              </w:rPr>
            </w:pPr>
            <w:r>
              <w:rPr>
                <w:rFonts w:hint="eastAsia" w:ascii="仿宋" w:hAnsi="仿宋" w:eastAsia="仿宋" w:cs="仿宋"/>
                <w:sz w:val="24"/>
                <w:szCs w:val="24"/>
              </w:rPr>
              <w:t>提供近两年以来同型号设备销售业绩证明材料（证明材料可以是中标通知书或中标公示截图或合同相关页面，且证明材料要体现中标设备的型号），每提供一份计</w:t>
            </w:r>
            <w:r>
              <w:rPr>
                <w:rFonts w:hint="eastAsia" w:ascii="仿宋" w:hAnsi="仿宋" w:eastAsia="仿宋" w:cs="仿宋"/>
                <w:sz w:val="24"/>
                <w:szCs w:val="24"/>
                <w:lang w:val="en-US" w:eastAsia="zh-CN"/>
              </w:rPr>
              <w:t>15</w:t>
            </w:r>
            <w:r>
              <w:rPr>
                <w:rFonts w:hint="eastAsia" w:ascii="仿宋" w:hAnsi="仿宋" w:eastAsia="仿宋" w:cs="仿宋"/>
                <w:sz w:val="24"/>
                <w:szCs w:val="24"/>
              </w:rPr>
              <w:t>分，计满30分为止，未按要求提供不得分。</w:t>
            </w:r>
          </w:p>
        </w:tc>
      </w:tr>
    </w:tbl>
    <w:p w14:paraId="5E03762E">
      <w:pPr>
        <w:keepNext w:val="0"/>
        <w:keepLines w:val="0"/>
        <w:pageBreakBefore w:val="0"/>
        <w:kinsoku/>
        <w:wordWrap/>
        <w:overflowPunct/>
        <w:topLinePunct w:val="0"/>
        <w:autoSpaceDE/>
        <w:autoSpaceDN/>
        <w:bidi w:val="0"/>
        <w:adjustRightInd/>
        <w:snapToGrid/>
        <w:spacing w:line="440" w:lineRule="exact"/>
        <w:textAlignment w:val="auto"/>
        <w:rPr>
          <w:color w:val="auto"/>
          <w:sz w:val="24"/>
          <w:szCs w:val="24"/>
          <w:highlight w:val="none"/>
          <w:shd w:val="clear" w:color="auto" w:fill="auto"/>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A5A5E17"/>
    <w:rsid w:val="007D4E2B"/>
    <w:rsid w:val="02E15E5C"/>
    <w:rsid w:val="0445303F"/>
    <w:rsid w:val="064A387B"/>
    <w:rsid w:val="08AE081C"/>
    <w:rsid w:val="0A2E3AF5"/>
    <w:rsid w:val="0BFC1173"/>
    <w:rsid w:val="0CFC3232"/>
    <w:rsid w:val="114E67E2"/>
    <w:rsid w:val="116752E1"/>
    <w:rsid w:val="1367529E"/>
    <w:rsid w:val="13A445CA"/>
    <w:rsid w:val="13C72CAC"/>
    <w:rsid w:val="154047C7"/>
    <w:rsid w:val="16481B85"/>
    <w:rsid w:val="17BE17D5"/>
    <w:rsid w:val="18896692"/>
    <w:rsid w:val="1BE82ED2"/>
    <w:rsid w:val="1E071CA1"/>
    <w:rsid w:val="1F2E2A8A"/>
    <w:rsid w:val="1F8654CC"/>
    <w:rsid w:val="207B4905"/>
    <w:rsid w:val="207E4ABA"/>
    <w:rsid w:val="21ED35E0"/>
    <w:rsid w:val="22CD6F6E"/>
    <w:rsid w:val="234C2589"/>
    <w:rsid w:val="24D171E9"/>
    <w:rsid w:val="279A3079"/>
    <w:rsid w:val="27B70B46"/>
    <w:rsid w:val="2C681CD2"/>
    <w:rsid w:val="2FA86D99"/>
    <w:rsid w:val="310444A3"/>
    <w:rsid w:val="3A910266"/>
    <w:rsid w:val="3B135A0E"/>
    <w:rsid w:val="3B6E63D6"/>
    <w:rsid w:val="3B9603ED"/>
    <w:rsid w:val="3DDC01BC"/>
    <w:rsid w:val="3E947D04"/>
    <w:rsid w:val="40BF2F2F"/>
    <w:rsid w:val="41481090"/>
    <w:rsid w:val="41C31810"/>
    <w:rsid w:val="41DB54F8"/>
    <w:rsid w:val="42F9198D"/>
    <w:rsid w:val="4460634D"/>
    <w:rsid w:val="451333CC"/>
    <w:rsid w:val="459E5CE4"/>
    <w:rsid w:val="45CE07A3"/>
    <w:rsid w:val="465F23B4"/>
    <w:rsid w:val="48B16866"/>
    <w:rsid w:val="49400E84"/>
    <w:rsid w:val="4A5A5E17"/>
    <w:rsid w:val="501222E0"/>
    <w:rsid w:val="514A1EC9"/>
    <w:rsid w:val="53360094"/>
    <w:rsid w:val="53AC20C3"/>
    <w:rsid w:val="5BA84731"/>
    <w:rsid w:val="5CD960F3"/>
    <w:rsid w:val="5DCF1BBF"/>
    <w:rsid w:val="5F447FDD"/>
    <w:rsid w:val="61193C6A"/>
    <w:rsid w:val="624D53FA"/>
    <w:rsid w:val="64B96D77"/>
    <w:rsid w:val="6694767E"/>
    <w:rsid w:val="66BB5028"/>
    <w:rsid w:val="66C33EDD"/>
    <w:rsid w:val="67DD0FCE"/>
    <w:rsid w:val="68386205"/>
    <w:rsid w:val="694035C3"/>
    <w:rsid w:val="69C45FA2"/>
    <w:rsid w:val="6A254DA7"/>
    <w:rsid w:val="6AB04778"/>
    <w:rsid w:val="6D917181"/>
    <w:rsid w:val="6EF410D7"/>
    <w:rsid w:val="709A64CB"/>
    <w:rsid w:val="713F0604"/>
    <w:rsid w:val="719A7138"/>
    <w:rsid w:val="74820346"/>
    <w:rsid w:val="75362811"/>
    <w:rsid w:val="75624055"/>
    <w:rsid w:val="761756AB"/>
    <w:rsid w:val="77AB67AB"/>
    <w:rsid w:val="79020895"/>
    <w:rsid w:val="7C0D3893"/>
    <w:rsid w:val="7C5B440A"/>
    <w:rsid w:val="7C7A6994"/>
    <w:rsid w:val="7FE92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rFonts w:asciiTheme="minorHAnsi" w:hAnsiTheme="minorHAnsi" w:eastAsiaTheme="minorEastAsia" w:cstheme="minorBidi"/>
      <w:kern w:val="0"/>
      <w:sz w:val="20"/>
      <w:szCs w:val="20"/>
      <w:lang w:val="en-US" w:eastAsia="zh-CN" w:bidi="ar-SA"/>
    </w:rPr>
  </w:style>
  <w:style w:type="paragraph" w:styleId="4">
    <w:name w:val="Body Text Indent"/>
    <w:basedOn w:val="1"/>
    <w:next w:val="5"/>
    <w:qFormat/>
    <w:uiPriority w:val="0"/>
    <w:pPr>
      <w:widowControl w:val="0"/>
      <w:spacing w:after="120"/>
      <w:ind w:left="420" w:leftChars="200"/>
      <w:jc w:val="both"/>
    </w:pPr>
    <w:rPr>
      <w:rFonts w:asciiTheme="minorHAnsi" w:hAnsiTheme="minorHAnsi" w:eastAsiaTheme="minorEastAsia" w:cstheme="minorBidi"/>
      <w:kern w:val="2"/>
      <w:sz w:val="21"/>
      <w:szCs w:val="24"/>
      <w:lang w:val="en-US" w:eastAsia="zh-CN" w:bidi="ar-SA"/>
    </w:rPr>
  </w:style>
  <w:style w:type="paragraph" w:styleId="5">
    <w:name w:val="Body Text First Indent 2"/>
    <w:basedOn w:val="4"/>
    <w:next w:val="3"/>
    <w:semiHidden/>
    <w:unhideWhenUsed/>
    <w:qFormat/>
    <w:uiPriority w:val="99"/>
    <w:pPr>
      <w:widowControl w:val="0"/>
      <w:spacing w:after="120"/>
      <w:ind w:left="420" w:leftChars="200" w:firstLine="420" w:firstLineChars="200"/>
      <w:jc w:val="both"/>
    </w:pPr>
    <w:rPr>
      <w:rFonts w:asciiTheme="minorHAnsi" w:hAnsiTheme="minorHAnsi" w:eastAsiaTheme="minorEastAsia" w:cstheme="minorBidi"/>
      <w:kern w:val="2"/>
      <w:sz w:val="21"/>
      <w:szCs w:val="24"/>
      <w:lang w:val="en-US" w:eastAsia="zh-CN" w:bidi="ar-SA"/>
    </w:rPr>
  </w:style>
  <w:style w:type="paragraph" w:styleId="6">
    <w:name w:val="Body Text 2"/>
    <w:basedOn w:val="1"/>
    <w:unhideWhenUsed/>
    <w:qFormat/>
    <w:uiPriority w:val="0"/>
    <w:pPr>
      <w:spacing w:after="120" w:line="480" w:lineRule="auto"/>
    </w:pPr>
    <w:rPr>
      <w:rFonts w:ascii="Times New Roman" w:hAnsi="Times New Roman" w:eastAsia="宋体" w:cs="Times New Roman"/>
    </w:rPr>
  </w:style>
  <w:style w:type="paragraph" w:customStyle="1" w:styleId="9">
    <w:name w:val="Normal_0"/>
    <w:qFormat/>
    <w:uiPriority w:val="0"/>
    <w:rPr>
      <w:rFonts w:ascii="Times New Roman" w:hAnsi="Times New Roman" w:eastAsia="Times New Roman" w:cs="Times New Roman"/>
      <w:sz w:val="24"/>
      <w:szCs w:val="24"/>
      <w:lang w:val="en-US" w:eastAsia="zh-CN" w:bidi="ar-SA"/>
    </w:rPr>
  </w:style>
  <w:style w:type="paragraph" w:customStyle="1" w:styleId="10">
    <w:name w:val="Normal_0_1"/>
    <w:qFormat/>
    <w:uiPriority w:val="0"/>
    <w:rPr>
      <w:rFonts w:ascii="Times New Roman" w:hAnsi="Times New Roman" w:eastAsia="宋体" w:cs="Times New Roman"/>
      <w:sz w:val="24"/>
      <w:szCs w:val="24"/>
    </w:rPr>
  </w:style>
  <w:style w:type="paragraph" w:customStyle="1" w:styleId="11">
    <w:name w:val="Normal_0_2"/>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1788</Words>
  <Characters>1855</Characters>
  <Lines>0</Lines>
  <Paragraphs>0</Paragraphs>
  <TotalTime>1</TotalTime>
  <ScaleCrop>false</ScaleCrop>
  <LinksUpToDate>false</LinksUpToDate>
  <CharactersWithSpaces>1864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2022-01-12T01:54:00Z</dcterms:created>
  <dc:creator>WA</dc:creator>
  <cp:lastModifiedBy>蓝色贝雷</cp:lastModifiedBy>
  <cp:lastPrinted>2023-09-26T00:04:00Z</cp:lastPrinted>
  <dcterms:modified xsi:type="dcterms:W3CDTF">2025-01-06T03:51:36Z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E10F04CE9D614DDCACA4828F542729DB</vt:lpwstr>
  </property>
</Properties>
</file>