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75517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0" w:lineRule="atLeast"/>
        <w:jc w:val="center"/>
        <w:textAlignment w:val="auto"/>
        <w:rPr>
          <w:rFonts w:hint="default"/>
          <w:b/>
          <w:bCs/>
          <w:color w:val="auto"/>
          <w:kern w:val="0"/>
          <w:szCs w:val="21"/>
          <w:lang w:val="en-US" w:bidi="ar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心电监护仪招标参数</w:t>
      </w:r>
    </w:p>
    <w:p w14:paraId="302E097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0" w:lineRule="atLeast"/>
        <w:jc w:val="left"/>
        <w:textAlignment w:val="auto"/>
        <w:rPr>
          <w:rFonts w:hint="eastAsia" w:eastAsia="宋体"/>
          <w:b/>
          <w:bCs/>
          <w:color w:val="auto"/>
          <w:kern w:val="0"/>
          <w:szCs w:val="21"/>
          <w:highlight w:val="none"/>
          <w:lang w:eastAsia="zh-CN" w:bidi="ar"/>
        </w:rPr>
      </w:pPr>
      <w:r>
        <w:rPr>
          <w:b/>
          <w:bCs/>
          <w:color w:val="auto"/>
          <w:kern w:val="0"/>
          <w:szCs w:val="21"/>
          <w:highlight w:val="none"/>
          <w:lang w:bidi="ar"/>
        </w:rPr>
        <w:t>一、设备名称：</w:t>
      </w:r>
      <w:r>
        <w:rPr>
          <w:rFonts w:hint="eastAsia"/>
          <w:b/>
          <w:bCs/>
          <w:color w:val="auto"/>
          <w:kern w:val="0"/>
          <w:szCs w:val="21"/>
          <w:highlight w:val="none"/>
          <w:lang w:bidi="ar"/>
        </w:rPr>
        <w:t>床旁监护仪</w:t>
      </w:r>
      <w:r>
        <w:rPr>
          <w:rFonts w:hint="eastAsia"/>
          <w:color w:val="auto"/>
          <w:szCs w:val="21"/>
          <w:highlight w:val="none"/>
          <w:lang w:val="en-US" w:eastAsia="zh-CN"/>
        </w:rPr>
        <w:t xml:space="preserve"> </w:t>
      </w:r>
    </w:p>
    <w:p w14:paraId="245B357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0" w:lineRule="atLeast"/>
        <w:jc w:val="left"/>
        <w:textAlignment w:val="auto"/>
        <w:rPr>
          <w:rFonts w:hint="eastAsia" w:eastAsia="宋体"/>
          <w:b/>
          <w:bCs/>
          <w:color w:val="auto"/>
          <w:kern w:val="0"/>
          <w:szCs w:val="21"/>
          <w:lang w:eastAsia="zh-CN" w:bidi="ar"/>
        </w:rPr>
      </w:pPr>
      <w:r>
        <w:rPr>
          <w:b/>
          <w:bCs/>
          <w:color w:val="auto"/>
          <w:kern w:val="0"/>
          <w:szCs w:val="21"/>
          <w:lang w:bidi="ar"/>
        </w:rPr>
        <w:t>二、设备数量：</w:t>
      </w:r>
      <w:r>
        <w:rPr>
          <w:rFonts w:hint="eastAsia"/>
          <w:b/>
          <w:bCs/>
          <w:color w:val="auto"/>
          <w:kern w:val="0"/>
          <w:szCs w:val="21"/>
          <w:lang w:val="en-US" w:eastAsia="zh-CN" w:bidi="ar"/>
        </w:rPr>
        <w:t>3台</w:t>
      </w:r>
      <w:r>
        <w:rPr>
          <w:rFonts w:hint="eastAsia"/>
          <w:bCs/>
          <w:color w:val="auto"/>
          <w:kern w:val="0"/>
          <w:szCs w:val="21"/>
          <w:lang w:val="en-US" w:eastAsia="zh-CN" w:bidi="ar"/>
        </w:rPr>
        <w:t xml:space="preserve"> </w:t>
      </w:r>
    </w:p>
    <w:p w14:paraId="474D669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0" w:lineRule="atLeast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yellow"/>
          <w:lang w:eastAsia="zh-CN"/>
        </w:rPr>
      </w:pPr>
      <w:r>
        <w:rPr>
          <w:b/>
          <w:bCs/>
          <w:color w:val="auto"/>
          <w:kern w:val="0"/>
          <w:szCs w:val="21"/>
          <w:lang w:bidi="ar"/>
        </w:rPr>
        <w:t>三、技术参数及技术要求：</w:t>
      </w:r>
    </w:p>
    <w:p w14:paraId="2CCFDE00"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0" w:lineRule="atLeast"/>
        <w:ind w:leftChars="0"/>
        <w:jc w:val="left"/>
        <w:textAlignment w:val="auto"/>
        <w:rPr>
          <w:rFonts w:ascii="宋体" w:hAnsi="宋体" w:eastAsia="宋体" w:cs="宋体"/>
          <w:b/>
          <w:color w:val="auto"/>
          <w:kern w:val="0"/>
          <w:szCs w:val="21"/>
        </w:rPr>
      </w:pPr>
      <w:r>
        <w:rPr>
          <w:rFonts w:hint="eastAsia" w:ascii="宋体" w:hAnsi="宋体" w:eastAsia="宋体" w:cs="宋体"/>
          <w:b/>
          <w:color w:val="auto"/>
          <w:kern w:val="0"/>
          <w:szCs w:val="21"/>
          <w:lang w:val="en-US" w:eastAsia="zh-CN"/>
        </w:rPr>
        <w:t>3.1</w:t>
      </w:r>
      <w:r>
        <w:rPr>
          <w:rFonts w:hint="eastAsia" w:ascii="宋体" w:hAnsi="宋体" w:eastAsia="宋体" w:cs="宋体"/>
          <w:b/>
          <w:color w:val="auto"/>
          <w:kern w:val="0"/>
          <w:szCs w:val="21"/>
        </w:rPr>
        <w:t>整机要求：</w:t>
      </w:r>
    </w:p>
    <w:p w14:paraId="3824F9F9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hint="eastAsia" w:ascii="Times New Roman" w:hAnsi="Times New Roman" w:eastAsia="Calibri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Calibri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  <w:t>3.1.1一体化便携监护仪，整机无风扇设计，配置提手</w:t>
      </w:r>
      <w:r>
        <w:rPr>
          <w:rFonts w:hint="eastAsia" w:ascii="Times New Roman" w:hAnsi="Times New Roman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rFonts w:hint="eastAsia" w:ascii="Times New Roman" w:hAnsi="Times New Roman" w:eastAsia="Calibri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  <w:t xml:space="preserve">方便移动。 </w:t>
      </w:r>
    </w:p>
    <w:p w14:paraId="2627FA05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hint="eastAsia" w:ascii="Times New Roman" w:hAnsi="Times New Roman" w:eastAsia="Calibri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Calibri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  <w:t>3.1.2 ≥10英寸彩色液晶触摸屏，分辨率≥1280*800，≥8通道波形显示</w:t>
      </w:r>
    </w:p>
    <w:p w14:paraId="7194D650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hint="eastAsia" w:ascii="Times New Roman" w:hAnsi="Times New Roman" w:eastAsia="Calibri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Calibri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  <w:t>3.1.3显示屏采用宽视角技术，支持</w:t>
      </w:r>
      <w:r>
        <w:rPr>
          <w:rFonts w:hint="eastAsia"/>
          <w:b w:val="0"/>
          <w:bCs/>
          <w:color w:val="auto"/>
          <w:szCs w:val="21"/>
          <w:lang w:val="en-US" w:eastAsia="zh-CN"/>
        </w:rPr>
        <w:t>≥</w:t>
      </w:r>
      <w:r>
        <w:rPr>
          <w:rFonts w:hint="eastAsia" w:ascii="Times New Roman" w:hAnsi="Times New Roman" w:eastAsia="Calibri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  <w:t>170度可视范围</w:t>
      </w:r>
    </w:p>
    <w:p w14:paraId="47C36C84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hint="eastAsia" w:ascii="Times New Roman" w:hAnsi="Times New Roman" w:eastAsia="Calibri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Calibri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  <w:t>3.1.3内置</w:t>
      </w:r>
      <w:r>
        <w:rPr>
          <w:rFonts w:hint="eastAsia"/>
          <w:color w:val="auto"/>
          <w:lang w:eastAsia="zh-CN"/>
        </w:rPr>
        <w:t>蓄</w:t>
      </w:r>
      <w:r>
        <w:rPr>
          <w:rFonts w:hint="eastAsia" w:ascii="Times New Roman" w:hAnsi="Times New Roman" w:eastAsia="Calibri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  <w:t>电池，插槽式设计，无需螺丝刀工具支持快速拆卸和安装，</w:t>
      </w:r>
      <w:r>
        <w:rPr>
          <w:rFonts w:hint="eastAsia"/>
          <w:color w:val="auto"/>
          <w:lang w:eastAsia="zh-CN"/>
        </w:rPr>
        <w:t>蓄</w:t>
      </w:r>
      <w:r>
        <w:rPr>
          <w:rFonts w:hint="eastAsia" w:ascii="Times New Roman" w:hAnsi="Times New Roman" w:eastAsia="Calibri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  <w:t>电池支持监护仪工作时间≥4小时；</w:t>
      </w:r>
      <w:bookmarkStart w:id="0" w:name="_GoBack"/>
      <w:bookmarkEnd w:id="0"/>
    </w:p>
    <w:p w14:paraId="69CACC53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hint="eastAsia" w:ascii="Times New Roman" w:hAnsi="Times New Roman" w:eastAsia="Calibri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Calibri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  <w:t>3.1.3监护仪设计使用年限≥10年。</w:t>
      </w:r>
    </w:p>
    <w:p w14:paraId="54E21EA0"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0" w:lineRule="atLeast"/>
        <w:ind w:leftChars="0"/>
        <w:jc w:val="left"/>
        <w:textAlignment w:val="auto"/>
        <w:rPr>
          <w:rFonts w:ascii="宋体" w:hAnsi="宋体" w:eastAsia="宋体" w:cs="宋体"/>
          <w:b/>
          <w:color w:val="auto"/>
          <w:kern w:val="0"/>
          <w:szCs w:val="21"/>
        </w:rPr>
      </w:pPr>
      <w:r>
        <w:rPr>
          <w:rFonts w:hint="eastAsia" w:ascii="宋体" w:hAnsi="宋体" w:eastAsia="宋体" w:cs="宋体"/>
          <w:b/>
          <w:color w:val="auto"/>
          <w:kern w:val="0"/>
          <w:szCs w:val="21"/>
          <w:lang w:val="en-US" w:eastAsia="zh-CN"/>
        </w:rPr>
        <w:t>3.2</w:t>
      </w:r>
      <w:r>
        <w:rPr>
          <w:rFonts w:hint="eastAsia" w:ascii="宋体" w:hAnsi="宋体" w:eastAsia="宋体" w:cs="宋体"/>
          <w:b/>
          <w:color w:val="auto"/>
          <w:kern w:val="0"/>
          <w:szCs w:val="21"/>
        </w:rPr>
        <w:t>监测参数：</w:t>
      </w:r>
    </w:p>
    <w:p w14:paraId="4ECD0FF3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hint="eastAsia" w:ascii="Times New Roman" w:hAnsi="Times New Roman" w:eastAsia="Calibri" w:cs="Times New Roman"/>
          <w:bCs/>
          <w:color w:val="auto"/>
          <w:szCs w:val="21"/>
        </w:rPr>
      </w:pP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>3.2.1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配置3/5导心电，呼吸，无创血压，血氧饱和度，脉搏和双通道体温参数监测，以上参数适用于成人、小儿、新生儿患者。</w:t>
      </w:r>
    </w:p>
    <w:p w14:paraId="002A928F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hint="eastAsia" w:ascii="Times New Roman" w:hAnsi="Times New Roman" w:eastAsia="宋体" w:cs="Times New Roman"/>
          <w:bCs/>
          <w:color w:val="auto"/>
          <w:szCs w:val="21"/>
          <w:lang w:eastAsia="zh-CN"/>
        </w:rPr>
      </w:pP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>3.2.2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心电波形扫描速度支持6.25mm/s、12.5 mm/s、25 mm/s和50 mm/s</w:t>
      </w:r>
      <w:r>
        <w:rPr>
          <w:rFonts w:hint="eastAsia" w:ascii="Times New Roman" w:hAnsi="Times New Roman" w:eastAsia="宋体" w:cs="Times New Roman"/>
          <w:bCs/>
          <w:color w:val="auto"/>
          <w:szCs w:val="21"/>
          <w:lang w:eastAsia="zh-CN"/>
        </w:rPr>
        <w:t>。</w:t>
      </w:r>
    </w:p>
    <w:p w14:paraId="13B92AC3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hint="eastAsia" w:ascii="Times New Roman" w:hAnsi="Times New Roman" w:eastAsia="Calibri" w:cs="Times New Roman"/>
          <w:bCs/>
          <w:color w:val="auto"/>
          <w:szCs w:val="21"/>
        </w:rPr>
      </w:pP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>3.2.3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提供窗口支持心脏下壁，侧壁和前壁对应多个ST片段的同屏实时显示，提供参考片段和实时片段的对比查看。</w:t>
      </w:r>
    </w:p>
    <w:p w14:paraId="6823AE51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hint="eastAsia" w:ascii="Times New Roman" w:hAnsi="Times New Roman" w:eastAsia="宋体" w:cs="Times New Roman"/>
          <w:bCs/>
          <w:color w:val="auto"/>
          <w:szCs w:val="21"/>
          <w:lang w:eastAsia="zh-CN"/>
        </w:rPr>
      </w:pP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>3.2.4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 xml:space="preserve">支持房颤及室上性心律失常分析功能，如：室上性心动过速，SVCs/min等，标配支持≥25种实时心律失常分析 </w:t>
      </w:r>
      <w:r>
        <w:rPr>
          <w:rFonts w:hint="eastAsia" w:ascii="Times New Roman" w:hAnsi="Times New Roman" w:eastAsia="宋体" w:cs="Times New Roman"/>
          <w:bCs/>
          <w:color w:val="auto"/>
          <w:szCs w:val="21"/>
          <w:lang w:eastAsia="zh-CN"/>
        </w:rPr>
        <w:t>。</w:t>
      </w:r>
    </w:p>
    <w:p w14:paraId="311C6875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hint="eastAsia" w:ascii="Times New Roman" w:hAnsi="Times New Roman" w:eastAsia="Calibri" w:cs="Times New Roman"/>
          <w:bCs/>
          <w:color w:val="auto"/>
          <w:szCs w:val="21"/>
        </w:rPr>
      </w:pP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 xml:space="preserve">3.2.5 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QT和QTc实时监测参数测量范围：200～800 ms。</w:t>
      </w:r>
    </w:p>
    <w:p w14:paraId="7533D12A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hint="eastAsia" w:ascii="Times New Roman" w:hAnsi="Times New Roman" w:eastAsia="Calibri" w:cs="Times New Roman"/>
          <w:bCs/>
          <w:color w:val="auto"/>
          <w:szCs w:val="21"/>
        </w:rPr>
      </w:pP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 xml:space="preserve">3.2.6 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支持≥3通道心电波形实时动态同步分析，可进行多导心电分析，并非多个导联波形同屏显示及12导联静息分析。</w:t>
      </w:r>
    </w:p>
    <w:p w14:paraId="61BB07BD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hint="eastAsia" w:ascii="Times New Roman" w:hAnsi="Times New Roman" w:eastAsia="Calibri" w:cs="Times New Roman"/>
          <w:bCs/>
          <w:color w:val="auto"/>
          <w:szCs w:val="21"/>
        </w:rPr>
      </w:pP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>3.2.</w:t>
      </w:r>
      <w:r>
        <w:rPr>
          <w:rFonts w:hint="eastAsia" w:ascii="Times New Roman" w:hAnsi="Times New Roman" w:cs="Times New Roman"/>
          <w:bCs/>
          <w:color w:val="auto"/>
          <w:szCs w:val="21"/>
          <w:lang w:val="en-US" w:eastAsia="zh-CN"/>
        </w:rPr>
        <w:t>7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支持指套式血氧探头，IPX7防水等级，支持液体浸泡消毒和清洁。</w:t>
      </w:r>
    </w:p>
    <w:p w14:paraId="4592DA1E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hint="eastAsia" w:ascii="Times New Roman" w:hAnsi="Times New Roman" w:eastAsia="宋体" w:cs="Times New Roman"/>
          <w:bCs/>
          <w:color w:val="auto"/>
          <w:szCs w:val="21"/>
          <w:lang w:eastAsia="zh-CN"/>
        </w:rPr>
      </w:pP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>3.2.</w:t>
      </w:r>
      <w:r>
        <w:rPr>
          <w:rFonts w:hint="eastAsia" w:ascii="Times New Roman" w:hAnsi="Times New Roman" w:cs="Times New Roman"/>
          <w:bCs/>
          <w:color w:val="auto"/>
          <w:szCs w:val="21"/>
          <w:lang w:val="en-US" w:eastAsia="zh-CN"/>
        </w:rPr>
        <w:t>8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提供手动，自动，连续、序列和整点5种测量模式，提供24小时血压统计结果</w:t>
      </w:r>
      <w:r>
        <w:rPr>
          <w:rFonts w:hint="eastAsia" w:ascii="Times New Roman" w:hAnsi="Times New Roman" w:eastAsia="宋体" w:cs="Times New Roman"/>
          <w:bCs/>
          <w:color w:val="auto"/>
          <w:szCs w:val="21"/>
          <w:lang w:eastAsia="zh-CN"/>
        </w:rPr>
        <w:t>。</w:t>
      </w:r>
    </w:p>
    <w:p w14:paraId="709D57BA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ascii="宋体" w:hAnsi="宋体" w:eastAsia="宋体"/>
          <w:color w:val="auto"/>
          <w:szCs w:val="21"/>
        </w:rPr>
      </w:pP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>3.2.</w:t>
      </w:r>
      <w:r>
        <w:rPr>
          <w:rFonts w:hint="eastAsia" w:ascii="Times New Roman" w:hAnsi="Times New Roman" w:cs="Times New Roman"/>
          <w:bCs/>
          <w:color w:val="auto"/>
          <w:szCs w:val="21"/>
          <w:lang w:val="en-US" w:eastAsia="zh-CN"/>
        </w:rPr>
        <w:t>9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提供呼吸测量，适用于成人、小儿和新生儿。呼吸测量范围：0-200 rpm。</w:t>
      </w:r>
    </w:p>
    <w:p w14:paraId="778C5073"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0" w:lineRule="atLeast"/>
        <w:ind w:leftChars="0"/>
        <w:jc w:val="left"/>
        <w:textAlignment w:val="auto"/>
        <w:rPr>
          <w:rFonts w:ascii="宋体" w:hAnsi="宋体" w:eastAsia="宋体" w:cs="宋体"/>
          <w:b/>
          <w:color w:val="auto"/>
          <w:kern w:val="0"/>
          <w:szCs w:val="21"/>
        </w:rPr>
      </w:pPr>
      <w:r>
        <w:rPr>
          <w:rFonts w:hint="eastAsia" w:ascii="宋体" w:hAnsi="宋体" w:eastAsia="宋体" w:cs="宋体"/>
          <w:b/>
          <w:color w:val="auto"/>
          <w:kern w:val="0"/>
          <w:szCs w:val="21"/>
          <w:lang w:val="en-US" w:eastAsia="zh-CN"/>
        </w:rPr>
        <w:t>3.3</w:t>
      </w:r>
      <w:r>
        <w:rPr>
          <w:rFonts w:hint="eastAsia" w:ascii="宋体" w:hAnsi="宋体" w:eastAsia="宋体" w:cs="宋体"/>
          <w:b/>
          <w:color w:val="auto"/>
          <w:kern w:val="0"/>
          <w:szCs w:val="21"/>
        </w:rPr>
        <w:t>系统功能：</w:t>
      </w:r>
    </w:p>
    <w:p w14:paraId="2AC4CDB0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hint="eastAsia" w:ascii="Times New Roman" w:hAnsi="Times New Roman" w:eastAsia="宋体" w:cs="Times New Roman"/>
          <w:bCs/>
          <w:color w:val="auto"/>
          <w:szCs w:val="21"/>
          <w:lang w:eastAsia="zh-CN"/>
        </w:rPr>
      </w:pP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>3.3.1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支持所有监测参数报警限一键自动设置功能，满足医护团队快速管理患者报警需求，产品使用说明书提供报警限自动设置规则</w:t>
      </w:r>
      <w:r>
        <w:rPr>
          <w:rFonts w:hint="eastAsia" w:ascii="Times New Roman" w:hAnsi="Times New Roman" w:eastAsia="宋体" w:cs="Times New Roman"/>
          <w:bCs/>
          <w:color w:val="auto"/>
          <w:szCs w:val="21"/>
          <w:lang w:eastAsia="zh-CN"/>
        </w:rPr>
        <w:t>。</w:t>
      </w:r>
    </w:p>
    <w:p w14:paraId="71297CAC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hint="eastAsia" w:ascii="Times New Roman" w:hAnsi="Times New Roman" w:eastAsia="宋体" w:cs="Times New Roman"/>
          <w:bCs/>
          <w:color w:val="auto"/>
          <w:szCs w:val="21"/>
          <w:lang w:eastAsia="zh-CN"/>
        </w:rPr>
      </w:pP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>3.3.2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具有图形化技术报警指示功能</w:t>
      </w:r>
      <w:r>
        <w:rPr>
          <w:rFonts w:hint="eastAsia" w:ascii="Times New Roman" w:hAnsi="Times New Roman" w:eastAsia="宋体" w:cs="Times New Roman"/>
          <w:bCs/>
          <w:color w:val="auto"/>
          <w:szCs w:val="21"/>
          <w:lang w:eastAsia="zh-CN"/>
        </w:rPr>
        <w:t>。</w:t>
      </w:r>
    </w:p>
    <w:p w14:paraId="6B53E8D1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hint="eastAsia" w:ascii="Times New Roman" w:hAnsi="Times New Roman" w:eastAsia="Calibri" w:cs="Times New Roman"/>
          <w:bCs/>
          <w:color w:val="auto"/>
          <w:szCs w:val="21"/>
        </w:rPr>
      </w:pP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>3.3.3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支持≥1000条事件回顾。每条报警事件至少能够存储30秒相关波形，以及报警触发时所有测量参数值。</w:t>
      </w:r>
    </w:p>
    <w:p w14:paraId="475902B7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hint="eastAsia" w:ascii="Times New Roman" w:hAnsi="Times New Roman" w:eastAsia="宋体" w:cs="Times New Roman"/>
          <w:bCs/>
          <w:color w:val="auto"/>
          <w:szCs w:val="21"/>
          <w:lang w:eastAsia="zh-CN"/>
        </w:rPr>
      </w:pP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>3.3.4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支持≥1000组NIBP测量结果</w:t>
      </w:r>
      <w:r>
        <w:rPr>
          <w:rFonts w:hint="eastAsia" w:ascii="Times New Roman" w:hAnsi="Times New Roman" w:eastAsia="宋体" w:cs="Times New Roman"/>
          <w:bCs/>
          <w:color w:val="auto"/>
          <w:szCs w:val="21"/>
          <w:lang w:eastAsia="zh-CN"/>
        </w:rPr>
        <w:t>。</w:t>
      </w:r>
    </w:p>
    <w:p w14:paraId="1EDB70E4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hint="eastAsia" w:ascii="Times New Roman" w:hAnsi="Times New Roman" w:eastAsia="宋体" w:cs="Times New Roman"/>
          <w:bCs/>
          <w:color w:val="auto"/>
          <w:szCs w:val="21"/>
          <w:lang w:eastAsia="zh-CN"/>
        </w:rPr>
      </w:pP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>3.3.5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支持≥120小时（分辨率1分钟）ST模板存储与回顾</w:t>
      </w:r>
      <w:r>
        <w:rPr>
          <w:rFonts w:hint="eastAsia" w:ascii="Times New Roman" w:hAnsi="Times New Roman" w:eastAsia="宋体" w:cs="Times New Roman"/>
          <w:bCs/>
          <w:color w:val="auto"/>
          <w:szCs w:val="21"/>
          <w:lang w:eastAsia="zh-CN"/>
        </w:rPr>
        <w:t>。</w:t>
      </w:r>
    </w:p>
    <w:p w14:paraId="58D07853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hint="eastAsia" w:ascii="Times New Roman" w:hAnsi="Times New Roman" w:eastAsia="Calibri" w:cs="Times New Roman"/>
          <w:bCs/>
          <w:color w:val="auto"/>
          <w:szCs w:val="21"/>
        </w:rPr>
      </w:pP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>3.3.6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具有报警升级功能，当参数报警经过一定的时间未被处理或伴发了其他报警，就会升级到更高一个级别。</w:t>
      </w:r>
    </w:p>
    <w:p w14:paraId="2B1D0446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hint="eastAsia" w:ascii="Times New Roman" w:hAnsi="Times New Roman" w:eastAsia="Calibri" w:cs="Times New Roman"/>
          <w:bCs/>
          <w:color w:val="auto"/>
          <w:szCs w:val="21"/>
        </w:rPr>
      </w:pP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>3.3.7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具有特殊报警音，当监护仪在病人发生致命性参数报警时，发出特殊的报警音进行提示病人处于危急状态。</w:t>
      </w:r>
    </w:p>
    <w:p w14:paraId="5D60FAAC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hint="eastAsia" w:ascii="Times New Roman" w:hAnsi="Times New Roman" w:eastAsia="Calibri" w:cs="Times New Roman"/>
          <w:bCs/>
          <w:color w:val="auto"/>
          <w:szCs w:val="21"/>
        </w:rPr>
      </w:pP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>3.3.8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支持根据病人的参数趋势变化，可自动推送HR/PR、 SpO2、 RR 等参数的报警限建议。</w:t>
      </w:r>
    </w:p>
    <w:p w14:paraId="343CD781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hint="eastAsia" w:ascii="Times New Roman" w:hAnsi="Times New Roman" w:eastAsia="Calibri" w:cs="Times New Roman"/>
          <w:bCs/>
          <w:color w:val="auto"/>
          <w:szCs w:val="21"/>
        </w:rPr>
      </w:pP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>3.3.9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具备参数组合报警功能，可对患者同时多个参数变化给出统一报警提示，更好地反映病人状态，提供≥10个预设组合报警，并允许自定义≥10个组合报警。</w:t>
      </w:r>
    </w:p>
    <w:p w14:paraId="785FF3F4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hint="eastAsia" w:ascii="Times New Roman" w:hAnsi="Times New Roman" w:eastAsia="Calibri" w:cs="Times New Roman"/>
          <w:bCs/>
          <w:color w:val="0000FF"/>
          <w:szCs w:val="21"/>
        </w:rPr>
      </w:pPr>
      <w:r>
        <w:rPr>
          <w:rFonts w:hint="eastAsia" w:ascii="Times New Roman" w:hAnsi="Times New Roman" w:eastAsia="Calibri" w:cs="Times New Roman"/>
          <w:bCs/>
          <w:color w:val="0000FF"/>
          <w:szCs w:val="21"/>
          <w:lang w:val="en-US" w:eastAsia="zh-CN"/>
        </w:rPr>
        <w:t>3.3.10</w:t>
      </w:r>
      <w:r>
        <w:rPr>
          <w:rFonts w:hint="eastAsia" w:ascii="Times New Roman" w:hAnsi="Times New Roman" w:eastAsia="Calibri" w:cs="Times New Roman"/>
          <w:bCs/>
          <w:color w:val="0000FF"/>
          <w:szCs w:val="21"/>
        </w:rPr>
        <w:t>支持RJ45接口进行有线网络通信和无线WIFI的方式</w:t>
      </w:r>
    </w:p>
    <w:p w14:paraId="1BAB9390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hint="eastAsia" w:ascii="Times New Roman" w:hAnsi="Times New Roman" w:eastAsia="Calibri" w:cs="Times New Roman"/>
          <w:bCs/>
          <w:color w:val="auto"/>
          <w:szCs w:val="21"/>
        </w:rPr>
      </w:pP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>3.3.11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提供计时器功能，界面区提供设置≥4个计时器，每个计时器支持独立设置和计时功能，计时方向包括正计时和倒计时两种选择。</w:t>
      </w:r>
    </w:p>
    <w:p w14:paraId="2875751E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hint="eastAsia" w:ascii="Times New Roman" w:hAnsi="Times New Roman" w:eastAsia="宋体" w:cs="Times New Roman"/>
          <w:bCs/>
          <w:color w:val="auto"/>
          <w:szCs w:val="21"/>
          <w:lang w:eastAsia="zh-CN"/>
        </w:rPr>
      </w:pP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>3.3.12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提供目标监测界面，能够显示ECG,SpO2,IBP,CO2等多种参数测量值和波形；目标监测界面至少包括目标参数区、参数列表区、目标参数统计区、目标参数趋势区等，目标参数统计区与目标参数趋势区相互联动</w:t>
      </w:r>
      <w:r>
        <w:rPr>
          <w:rFonts w:hint="eastAsia" w:ascii="Times New Roman" w:hAnsi="Times New Roman" w:eastAsia="宋体" w:cs="Times New Roman"/>
          <w:bCs/>
          <w:color w:val="auto"/>
          <w:szCs w:val="21"/>
          <w:lang w:eastAsia="zh-CN"/>
        </w:rPr>
        <w:t>。</w:t>
      </w:r>
    </w:p>
    <w:p w14:paraId="5F704EFD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hint="default" w:ascii="Times New Roman" w:hAnsi="Times New Roman" w:eastAsia="宋体" w:cs="Times New Roman"/>
          <w:bCs/>
          <w:color w:val="auto"/>
          <w:szCs w:val="21"/>
          <w:lang w:val="en-US" w:eastAsia="zh-CN"/>
        </w:rPr>
      </w:pPr>
      <w:r>
        <w:rPr>
          <w:rFonts w:hint="eastAsia" w:eastAsia="宋体" w:cs="Times New Roman"/>
          <w:bCs/>
          <w:color w:val="auto"/>
          <w:szCs w:val="21"/>
          <w:lang w:val="en-US" w:eastAsia="zh-CN"/>
        </w:rPr>
        <w:t>3.4必须与科室现有中央监护站兼容匹配。</w:t>
      </w:r>
    </w:p>
    <w:p w14:paraId="7507E09D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hint="eastAsia" w:ascii="Times New Roman" w:hAnsi="Times New Roman" w:eastAsia="Calibri" w:cs="Times New Roman"/>
          <w:bCs/>
          <w:color w:val="auto"/>
          <w:szCs w:val="21"/>
        </w:rPr>
      </w:pPr>
      <w:r>
        <w:rPr>
          <w:rFonts w:hint="eastAsia"/>
          <w:b w:val="0"/>
          <w:bCs/>
          <w:color w:val="auto"/>
          <w:szCs w:val="21"/>
          <w:lang w:val="en-US" w:eastAsia="zh-CN"/>
        </w:rPr>
        <w:t>3.5配置清单</w:t>
      </w:r>
    </w:p>
    <w:tbl>
      <w:tblPr>
        <w:tblStyle w:val="5"/>
        <w:tblW w:w="691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4"/>
        <w:gridCol w:w="3788"/>
        <w:gridCol w:w="1044"/>
        <w:gridCol w:w="1044"/>
      </w:tblGrid>
      <w:tr w14:paraId="6C2024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69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96A9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床旁</w:t>
            </w: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监护仪配置清单</w:t>
            </w:r>
          </w:p>
        </w:tc>
      </w:tr>
      <w:tr w14:paraId="584C2A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81C2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480B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配置明细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3FE9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数量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D110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单位</w:t>
            </w:r>
          </w:p>
        </w:tc>
      </w:tr>
      <w:tr w14:paraId="39FDE6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49AF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2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DCE1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病人监护仪主机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A460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A867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台</w:t>
            </w:r>
          </w:p>
        </w:tc>
      </w:tr>
      <w:tr w14:paraId="5F0876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B6BE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47F1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心电主电缆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B7FD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9076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根</w:t>
            </w:r>
          </w:p>
        </w:tc>
      </w:tr>
      <w:tr w14:paraId="7DE38C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731B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25D8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心电导联线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32EB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A9B4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根</w:t>
            </w:r>
          </w:p>
        </w:tc>
      </w:tr>
      <w:tr w14:paraId="5CFA4B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2BC8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D0DC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血氧主电缆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FE78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F73A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根</w:t>
            </w:r>
          </w:p>
        </w:tc>
      </w:tr>
      <w:tr w14:paraId="077DF2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E5C0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37C6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血氧探头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3765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2BC1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个</w:t>
            </w:r>
          </w:p>
        </w:tc>
      </w:tr>
      <w:tr w14:paraId="718109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9724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E9C1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无创血压延长管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4FD9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B679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根</w:t>
            </w:r>
          </w:p>
        </w:tc>
      </w:tr>
      <w:tr w14:paraId="6D6DFB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FD56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A559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无创血压袖带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31EC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D77F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个</w:t>
            </w:r>
          </w:p>
        </w:tc>
      </w:tr>
      <w:tr w14:paraId="79C734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69A4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22D6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电源线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986E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4E76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根</w:t>
            </w:r>
          </w:p>
        </w:tc>
      </w:tr>
      <w:tr w14:paraId="4B21B9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E151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AEC7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产品说明书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3A4C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9341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张</w:t>
            </w:r>
          </w:p>
        </w:tc>
      </w:tr>
      <w:tr w14:paraId="4CB49F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CB7E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D462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产品合格证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9F24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3CF2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本</w:t>
            </w:r>
          </w:p>
        </w:tc>
      </w:tr>
      <w:tr w14:paraId="59DA19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EFA5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7612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产品保修卡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675E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DBE2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张</w:t>
            </w:r>
          </w:p>
        </w:tc>
      </w:tr>
    </w:tbl>
    <w:p w14:paraId="166A83A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0" w:lineRule="atLeast"/>
        <w:jc w:val="center"/>
        <w:textAlignment w:val="auto"/>
        <w:rPr>
          <w:rFonts w:hint="default"/>
          <w:b/>
          <w:bCs/>
          <w:color w:val="auto"/>
          <w:sz w:val="28"/>
          <w:szCs w:val="28"/>
          <w:lang w:val="en-US" w:eastAsia="zh-CN"/>
        </w:rPr>
      </w:pPr>
    </w:p>
    <w:p w14:paraId="438746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="Times New Roman" w:hAnsi="Times New Roman" w:eastAsia="Calibri" w:cs="Times New Roman"/>
          <w:bCs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eastAsia="宋体"/>
          <w:b/>
          <w:bCs/>
          <w:color w:val="auto"/>
          <w:kern w:val="0"/>
          <w:szCs w:val="21"/>
          <w:lang w:val="en-US" w:eastAsia="zh-CN" w:bidi="ar"/>
        </w:rPr>
        <w:t>四、商务参数</w:t>
      </w:r>
      <w:r>
        <w:rPr>
          <w:rStyle w:val="8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 w:ascii="Times New Roman" w:hAnsi="Times New Roman" w:eastAsia="Calibri" w:cs="Times New Roman"/>
          <w:bCs/>
          <w:color w:val="auto"/>
          <w:kern w:val="2"/>
          <w:sz w:val="21"/>
          <w:szCs w:val="21"/>
          <w:lang w:val="en-US" w:eastAsia="zh-CN" w:bidi="ar-SA"/>
        </w:rPr>
        <w:t>★1、运输、装卸、培训、安装调试：由中标人负责承担，最终通过使用科室、设备科及相关部门确认验收交付使用。国产设备交付，设备必须为6个月内生产的产品；进口设备交付，设备必须为一年内生产的产品。</w:t>
      </w:r>
      <w:r>
        <w:rPr>
          <w:rFonts w:hint="eastAsia" w:ascii="Times New Roman" w:hAnsi="Times New Roman" w:eastAsia="Calibri" w:cs="Times New Roman"/>
          <w:bCs/>
          <w:color w:val="auto"/>
          <w:kern w:val="2"/>
          <w:sz w:val="21"/>
          <w:szCs w:val="21"/>
          <w:lang w:val="en-US" w:eastAsia="zh-CN" w:bidi="ar-SA"/>
        </w:rPr>
        <w:cr/>
      </w:r>
      <w:r>
        <w:rPr>
          <w:rFonts w:hint="eastAsia" w:ascii="Times New Roman" w:hAnsi="Times New Roman" w:eastAsia="Calibri" w:cs="Times New Roman"/>
          <w:bCs/>
          <w:color w:val="auto"/>
          <w:kern w:val="2"/>
          <w:sz w:val="21"/>
          <w:szCs w:val="21"/>
          <w:lang w:val="en-US" w:eastAsia="zh-CN" w:bidi="ar-SA"/>
        </w:rPr>
        <w:t>★2、交货时间：按合同约定的日期交货。</w:t>
      </w:r>
    </w:p>
    <w:p w14:paraId="5FF3A2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="Times New Roman" w:hAnsi="Times New Roman" w:eastAsia="Calibri" w:cs="Times New Roman"/>
          <w:bCs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Calibri" w:cs="Times New Roman"/>
          <w:bCs/>
          <w:color w:val="auto"/>
          <w:kern w:val="2"/>
          <w:sz w:val="21"/>
          <w:szCs w:val="21"/>
          <w:lang w:val="en-US" w:eastAsia="zh-CN" w:bidi="ar-SA"/>
        </w:rPr>
        <w:t>★3、交货地点：娄底市中心医院指定地点。</w:t>
      </w:r>
    </w:p>
    <w:p w14:paraId="2102653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0" w:lineRule="atLeast"/>
        <w:ind w:leftChars="0"/>
        <w:textAlignment w:val="auto"/>
        <w:rPr>
          <w:rFonts w:hint="eastAsia" w:ascii="Times New Roman" w:hAnsi="Times New Roman" w:eastAsia="Calibri" w:cs="Times New Roman"/>
          <w:bCs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Calibri" w:cs="Times New Roman"/>
          <w:bCs/>
          <w:color w:val="auto"/>
          <w:kern w:val="2"/>
          <w:sz w:val="21"/>
          <w:szCs w:val="21"/>
          <w:lang w:val="en-US" w:eastAsia="zh-CN" w:bidi="ar-SA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</w:t>
      </w:r>
      <w:r>
        <w:rPr>
          <w:rFonts w:hint="eastAsia" w:eastAsia="Calibri" w:cs="Times New Roman"/>
          <w:bCs/>
          <w:color w:val="auto"/>
          <w:kern w:val="2"/>
          <w:sz w:val="21"/>
          <w:szCs w:val="21"/>
          <w:lang w:val="en-US" w:eastAsia="zh-CN" w:bidi="ar-SA"/>
        </w:rPr>
        <w:t>3</w:t>
      </w:r>
      <w:r>
        <w:rPr>
          <w:rFonts w:hint="eastAsia" w:ascii="Times New Roman" w:hAnsi="Times New Roman" w:eastAsia="Calibri" w:cs="Times New Roman"/>
          <w:bCs/>
          <w:color w:val="auto"/>
          <w:kern w:val="2"/>
          <w:sz w:val="21"/>
          <w:szCs w:val="21"/>
          <w:lang w:val="en-US" w:eastAsia="zh-CN" w:bidi="ar-SA"/>
        </w:rPr>
        <w:t>年后支付10%余款给乙方。</w:t>
      </w:r>
      <w:r>
        <w:rPr>
          <w:rFonts w:hint="eastAsia" w:ascii="Times New Roman" w:hAnsi="Times New Roman" w:eastAsia="Calibri" w:cs="Times New Roman"/>
          <w:bCs/>
          <w:color w:val="auto"/>
          <w:kern w:val="2"/>
          <w:sz w:val="21"/>
          <w:szCs w:val="21"/>
          <w:lang w:val="en-US" w:eastAsia="zh-CN" w:bidi="ar-SA"/>
        </w:rPr>
        <w:cr/>
      </w:r>
      <w:r>
        <w:rPr>
          <w:rFonts w:hint="eastAsia" w:ascii="Times New Roman" w:hAnsi="Times New Roman" w:eastAsia="Calibri" w:cs="Times New Roman"/>
          <w:bCs/>
          <w:color w:val="auto"/>
          <w:kern w:val="2"/>
          <w:sz w:val="21"/>
          <w:szCs w:val="21"/>
          <w:lang w:val="en-US" w:eastAsia="zh-CN" w:bidi="ar-SA"/>
        </w:rPr>
        <w:t xml:space="preserve">★5、质保与售后：整机保修 </w:t>
      </w:r>
      <w:r>
        <w:rPr>
          <w:rFonts w:hint="eastAsia" w:eastAsia="Calibri" w:cs="Times New Roman"/>
          <w:bCs/>
          <w:color w:val="auto"/>
          <w:kern w:val="2"/>
          <w:sz w:val="21"/>
          <w:szCs w:val="21"/>
          <w:lang w:val="en-US" w:eastAsia="zh-CN" w:bidi="ar-SA"/>
        </w:rPr>
        <w:t>3</w:t>
      </w:r>
      <w:r>
        <w:rPr>
          <w:rFonts w:hint="eastAsia" w:ascii="Times New Roman" w:hAnsi="Times New Roman" w:eastAsia="Calibri" w:cs="Times New Roman"/>
          <w:bCs/>
          <w:color w:val="auto"/>
          <w:kern w:val="2"/>
          <w:sz w:val="21"/>
          <w:szCs w:val="21"/>
          <w:lang w:val="en-US" w:eastAsia="zh-CN" w:bidi="ar-SA"/>
        </w:rPr>
        <w:t xml:space="preserve"> 年，终身维修。验收时出具原厂售后质保承诺书，质保期内每年巡检一次，并提交巡检记录。</w:t>
      </w:r>
      <w:r>
        <w:rPr>
          <w:rFonts w:hint="eastAsia" w:ascii="Times New Roman" w:hAnsi="Times New Roman" w:eastAsia="Calibri" w:cs="Times New Roman"/>
          <w:bCs/>
          <w:color w:val="auto"/>
          <w:kern w:val="2"/>
          <w:sz w:val="21"/>
          <w:szCs w:val="21"/>
          <w:lang w:val="zh-CN" w:eastAsia="zh-CN" w:bidi="ar-SA"/>
        </w:rPr>
        <w:t>质保期内</w:t>
      </w:r>
      <w:r>
        <w:rPr>
          <w:rFonts w:hint="eastAsia" w:ascii="Times New Roman" w:hAnsi="Times New Roman" w:eastAsia="Calibri" w:cs="Times New Roman"/>
          <w:bCs/>
          <w:color w:val="auto"/>
          <w:kern w:val="2"/>
          <w:sz w:val="21"/>
          <w:szCs w:val="21"/>
          <w:lang w:val="en-US" w:eastAsia="zh-CN" w:bidi="ar-SA"/>
        </w:rPr>
        <w:t>出现故障，1小时响应，响应后24小时上门服务。</w:t>
      </w:r>
    </w:p>
    <w:p w14:paraId="2DFE31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="Times New Roman" w:hAnsi="Times New Roman" w:eastAsia="Calibri" w:cs="Times New Roman"/>
          <w:bCs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Calibri" w:cs="Times New Roman"/>
          <w:bCs/>
          <w:color w:val="auto"/>
          <w:kern w:val="2"/>
          <w:sz w:val="21"/>
          <w:szCs w:val="21"/>
          <w:lang w:val="en-US" w:eastAsia="zh-CN" w:bidi="ar-SA"/>
        </w:rPr>
        <w:t>★6、在投标文件中必须提供相关佐证资料(加盖投标人公章的技术参数、技术白皮书、说明书、彩页)，并在响应表中备注该条参数响应或正偏离的佐证资料所在页码。</w:t>
      </w:r>
    </w:p>
    <w:p w14:paraId="04E28C8A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 w:line="0" w:lineRule="atLeast"/>
        <w:jc w:val="both"/>
        <w:textAlignment w:val="auto"/>
        <w:rPr>
          <w:rFonts w:hint="default"/>
          <w:b w:val="0"/>
          <w:bCs/>
          <w:color w:val="auto"/>
          <w:szCs w:val="21"/>
          <w:highlight w:val="none"/>
          <w:lang w:val="en-US" w:eastAsia="zh-CN"/>
        </w:rPr>
      </w:pPr>
      <w:r>
        <w:rPr>
          <w:rFonts w:hint="eastAsia"/>
          <w:b w:val="0"/>
          <w:bCs/>
          <w:color w:val="auto"/>
          <w:szCs w:val="21"/>
          <w:lang w:val="en-US" w:eastAsia="zh-CN"/>
        </w:rPr>
        <w:t>★</w:t>
      </w:r>
      <w:r>
        <w:rPr>
          <w:rFonts w:hint="eastAsia"/>
          <w:b w:val="0"/>
          <w:bCs/>
          <w:color w:val="auto"/>
          <w:szCs w:val="21"/>
          <w:highlight w:val="none"/>
          <w:lang w:val="en-US" w:eastAsia="zh-CN"/>
        </w:rPr>
        <w:t xml:space="preserve">7、配送的设备必须与我院现有中央监护系统匹配兼容，如涉及到升级费用和网络接口费用，由中标人承担，采购人不再出具任何费用。 </w:t>
      </w:r>
    </w:p>
    <w:p w14:paraId="168DE17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0" w:lineRule="atLeas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8B10D8"/>
    <w:rsid w:val="16973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eastAsia="Calibri" w:cs="Times New Roman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 First Indent 2"/>
    <w:basedOn w:val="3"/>
    <w:qFormat/>
    <w:uiPriority w:val="0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1625</Words>
  <Characters>1869</Characters>
  <Lines>0</Lines>
  <Paragraphs>0</Paragraphs>
  <TotalTime>1</TotalTime>
  <ScaleCrop>false</ScaleCrop>
  <LinksUpToDate>false</LinksUpToDate>
  <CharactersWithSpaces>1887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2025-10-11T01:53:00Z</dcterms:created>
  <dc:creator>Administrator</dc:creator>
  <cp:lastModifiedBy>蓝色贝雷</cp:lastModifiedBy>
  <dcterms:modified xsi:type="dcterms:W3CDTF">2025-11-17T02:37:08Z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eyJoZGlkIjoiMDQyMjQ3NzEyNDNkNjliYTRmNGI3YjRjNjU2OGIyY2MiLCJ1c2VySWQiOiIzNzg5NDc3MzEifQ==</vt:lpwstr>
  </property>
  <property fmtid="{D5CDD505-2E9C-101B-9397-08002B2CF9AE}" pid="4" name="ICV">
    <vt:lpwstr>B46639F48FCB41E5BBD0BEC54D54631B_12</vt:lpwstr>
  </property>
</Properties>
</file>