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13"/>
        <w:snapToGrid w:val="0"/>
        <w:jc w:val="center"/>
        <w:rPr>
          <w:rFonts w:hint="eastAsia" w:ascii="Arial" w:hAnsi="Arial" w:eastAsia="方正小标宋简体" w:cs="Arial"/>
          <w:color w:val="auto"/>
          <w:sz w:val="72"/>
          <w:szCs w:val="72"/>
          <w:lang w:eastAsia="zh-CN"/>
        </w:rPr>
      </w:pPr>
      <w:bookmarkStart w:id="0" w:name="_Toc16523570"/>
    </w:p>
    <w:p w14:paraId="0668E363">
      <w:pPr>
        <w:pStyle w:val="13"/>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13"/>
        <w:snapToGrid w:val="0"/>
        <w:jc w:val="center"/>
        <w:rPr>
          <w:rFonts w:ascii="Arial" w:hAnsi="Arial" w:eastAsia="方正小标宋简体" w:cs="Arial"/>
          <w:color w:val="auto"/>
          <w:sz w:val="72"/>
          <w:szCs w:val="72"/>
        </w:rPr>
      </w:pPr>
    </w:p>
    <w:p w14:paraId="7A4A9D78">
      <w:pPr>
        <w:pStyle w:val="13"/>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13"/>
        <w:snapToGrid w:val="0"/>
        <w:jc w:val="center"/>
        <w:rPr>
          <w:rFonts w:ascii="Arial" w:hAnsi="Arial" w:eastAsia="方正小标宋简体" w:cs="Arial"/>
          <w:color w:val="auto"/>
          <w:sz w:val="72"/>
          <w:szCs w:val="72"/>
        </w:rPr>
      </w:pPr>
    </w:p>
    <w:p w14:paraId="6B19A57A">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13"/>
        <w:snapToGrid w:val="0"/>
        <w:jc w:val="center"/>
        <w:rPr>
          <w:rFonts w:ascii="Arial" w:hAnsi="Arial" w:eastAsia="方正小标宋简体" w:cs="Arial"/>
          <w:color w:val="auto"/>
          <w:sz w:val="72"/>
          <w:szCs w:val="72"/>
        </w:rPr>
      </w:pPr>
    </w:p>
    <w:p w14:paraId="71C742D0">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13"/>
        <w:snapToGrid w:val="0"/>
        <w:jc w:val="center"/>
        <w:rPr>
          <w:rFonts w:ascii="Arial" w:hAnsi="Arial" w:eastAsia="方正小标宋简体" w:cs="Arial"/>
          <w:color w:val="auto"/>
          <w:sz w:val="72"/>
          <w:szCs w:val="72"/>
        </w:rPr>
      </w:pPr>
    </w:p>
    <w:p w14:paraId="175D2234">
      <w:pPr>
        <w:pStyle w:val="13"/>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13"/>
        <w:snapToGrid w:val="0"/>
        <w:jc w:val="center"/>
        <w:rPr>
          <w:rFonts w:ascii="Arial" w:hAnsi="Arial" w:cs="Arial"/>
          <w:color w:val="auto"/>
          <w:sz w:val="32"/>
          <w:szCs w:val="32"/>
        </w:rPr>
      </w:pPr>
    </w:p>
    <w:p w14:paraId="6BDB84BC">
      <w:pPr>
        <w:pStyle w:val="13"/>
        <w:snapToGrid w:val="0"/>
        <w:jc w:val="center"/>
        <w:rPr>
          <w:rFonts w:ascii="Arial" w:hAnsi="Arial" w:cs="Arial"/>
          <w:color w:val="auto"/>
          <w:sz w:val="32"/>
          <w:szCs w:val="32"/>
        </w:rPr>
      </w:pPr>
    </w:p>
    <w:p w14:paraId="45537E0A">
      <w:pPr>
        <w:pStyle w:val="13"/>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娄底市中心医院云影像系统项目招标文件</w:t>
      </w:r>
    </w:p>
    <w:p w14:paraId="67D89F09">
      <w:pPr>
        <w:spacing w:line="320" w:lineRule="exact"/>
        <w:jc w:val="left"/>
        <w:rPr>
          <w:color w:val="auto"/>
          <w:sz w:val="24"/>
        </w:rPr>
      </w:pPr>
    </w:p>
    <w:p w14:paraId="3115AF61">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24633C77">
      <w:pPr>
        <w:spacing w:line="320" w:lineRule="exact"/>
        <w:jc w:val="center"/>
        <w:rPr>
          <w:rFonts w:hint="eastAsia" w:ascii="宋体" w:hAnsi="宋体" w:cs="宋体"/>
          <w:bCs/>
          <w:color w:val="auto"/>
          <w:sz w:val="32"/>
          <w:szCs w:val="32"/>
        </w:rPr>
      </w:pPr>
    </w:p>
    <w:p w14:paraId="78D7FB35">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13"/>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云影像系统</w:t>
      </w:r>
      <w:r>
        <w:rPr>
          <w:rFonts w:hint="eastAsia" w:ascii="仿宋" w:hAnsi="仿宋" w:eastAsia="仿宋" w:cs="仿宋"/>
          <w:bCs/>
          <w:color w:val="auto"/>
          <w:sz w:val="24"/>
          <w:szCs w:val="24"/>
          <w:lang w:val="en-US" w:eastAsia="zh-CN"/>
        </w:rPr>
        <w:t>项目进行院内挂网招标，将招标事项公告如下：</w:t>
      </w:r>
    </w:p>
    <w:p w14:paraId="3697D011">
      <w:pPr>
        <w:pStyle w:val="13"/>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13"/>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云影像系统</w:t>
      </w:r>
      <w:r>
        <w:rPr>
          <w:rFonts w:hint="eastAsia" w:ascii="仿宋" w:hAnsi="仿宋" w:eastAsia="仿宋" w:cs="仿宋"/>
          <w:b w:val="0"/>
          <w:bCs/>
          <w:color w:val="auto"/>
          <w:sz w:val="24"/>
          <w:szCs w:val="24"/>
          <w:lang w:val="en-US" w:eastAsia="zh-CN"/>
        </w:rPr>
        <w:t>项目</w:t>
      </w:r>
    </w:p>
    <w:p w14:paraId="008C2037">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28799B1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1、投标人的基本资格条件：投标人必须是在中华人民共和国境内注册登记的法人、其他组织或者自然人，且应当符合《政府采购法》第二十二条第一款的规定即：</w:t>
      </w:r>
    </w:p>
    <w:p w14:paraId="109724B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（1）具有独立承担民事责任的能力；</w:t>
      </w:r>
    </w:p>
    <w:p w14:paraId="6178AEC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（2）具有良好的商业信誉和健全的财务会计制度；</w:t>
      </w:r>
    </w:p>
    <w:p w14:paraId="14CE2F27">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（3）具有履行合同所必需的设备和专业技术能力；</w:t>
      </w:r>
    </w:p>
    <w:p w14:paraId="7B053FD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（4）有依法缴纳税收的良好记录；</w:t>
      </w:r>
    </w:p>
    <w:p w14:paraId="06BB8C59">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（5）参加政府采购活动前三年内，在经营活动中没有重大违法记录；</w:t>
      </w:r>
    </w:p>
    <w:p w14:paraId="7EF08A6C">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（6）法律、行政法规规定的其他条件。 </w:t>
      </w:r>
    </w:p>
    <w:p w14:paraId="0332D18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6BD7B6BD">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 月17日9:00；</w:t>
      </w:r>
    </w:p>
    <w:p w14:paraId="521D3901">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104F4386">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bookmarkStart w:id="4" w:name="_GoBack"/>
      <w:bookmarkEnd w:id="4"/>
    </w:p>
    <w:p w14:paraId="4DFE7EEA">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4705E256">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06EA57CB">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3FB7FD4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13"/>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A4E4DF4">
      <w:pPr>
        <w:pStyle w:val="4"/>
        <w:bidi w:val="0"/>
        <w:ind w:firstLine="480" w:firstLineChars="200"/>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1.项目清单、技术参数要求：</w:t>
      </w:r>
    </w:p>
    <w:p w14:paraId="2DE93637">
      <w:pPr>
        <w:spacing w:line="360" w:lineRule="auto"/>
        <w:ind w:firstLine="480" w:firstLineChars="200"/>
        <w:rPr>
          <w:rFonts w:hint="default" w:ascii="仿宋" w:hAnsi="仿宋" w:eastAsia="仿宋" w:cs="仿宋"/>
          <w:bCs/>
          <w:color w:val="auto"/>
          <w:kern w:val="0"/>
          <w:sz w:val="24"/>
          <w:szCs w:val="24"/>
          <w:lang w:val="en-US" w:eastAsia="zh-CN" w:bidi="ar-SA"/>
        </w:rPr>
      </w:pPr>
    </w:p>
    <w:tbl>
      <w:tblPr>
        <w:tblStyle w:val="10"/>
        <w:tblW w:w="818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956"/>
        <w:gridCol w:w="2775"/>
        <w:gridCol w:w="145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395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77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145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备注</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395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云影像系统</w:t>
            </w:r>
          </w:p>
        </w:tc>
        <w:tc>
          <w:tcPr>
            <w:tcW w:w="277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480000.00</w:t>
            </w:r>
          </w:p>
        </w:tc>
        <w:tc>
          <w:tcPr>
            <w:tcW w:w="145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5DCF3B6">
      <w:pPr>
        <w:pStyle w:val="2"/>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4、开标一览表格式要求：</w:t>
      </w:r>
    </w:p>
    <w:tbl>
      <w:tblPr>
        <w:tblStyle w:val="10"/>
        <w:tblpPr w:leftFromText="180" w:rightFromText="180" w:vertAnchor="text" w:horzAnchor="page" w:tblpX="1660" w:tblpY="162"/>
        <w:tblOverlap w:val="never"/>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1340"/>
        <w:gridCol w:w="1427"/>
        <w:gridCol w:w="1333"/>
        <w:gridCol w:w="762"/>
        <w:gridCol w:w="1355"/>
      </w:tblGrid>
      <w:tr w14:paraId="12BA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4F7376D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名称</w:t>
            </w:r>
          </w:p>
        </w:tc>
        <w:tc>
          <w:tcPr>
            <w:tcW w:w="1340" w:type="dxa"/>
            <w:tcBorders>
              <w:top w:val="single" w:color="auto" w:sz="4" w:space="0"/>
              <w:left w:val="single" w:color="auto" w:sz="4" w:space="0"/>
              <w:bottom w:val="single" w:color="auto" w:sz="4" w:space="0"/>
              <w:right w:val="single" w:color="auto" w:sz="4" w:space="0"/>
            </w:tcBorders>
            <w:noWrap w:val="0"/>
            <w:vAlign w:val="center"/>
          </w:tcPr>
          <w:p w14:paraId="5653A00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品牌</w:t>
            </w:r>
          </w:p>
        </w:tc>
        <w:tc>
          <w:tcPr>
            <w:tcW w:w="1427" w:type="dxa"/>
            <w:tcBorders>
              <w:top w:val="single" w:color="auto" w:sz="4" w:space="0"/>
              <w:left w:val="single" w:color="auto" w:sz="4" w:space="0"/>
              <w:bottom w:val="single" w:color="auto" w:sz="4" w:space="0"/>
              <w:right w:val="single" w:color="auto" w:sz="4" w:space="0"/>
            </w:tcBorders>
            <w:noWrap w:val="0"/>
            <w:vAlign w:val="center"/>
          </w:tcPr>
          <w:p w14:paraId="3535C47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版本/</w:t>
            </w:r>
            <w:r>
              <w:rPr>
                <w:rFonts w:hint="eastAsia" w:ascii="宋体" w:hAnsi="宋体" w:eastAsia="宋体" w:cs="宋体"/>
                <w:b/>
                <w:bCs/>
                <w:color w:val="auto"/>
                <w:kern w:val="0"/>
                <w:sz w:val="24"/>
                <w:szCs w:val="24"/>
                <w:highlight w:val="none"/>
              </w:rPr>
              <w:t>型号</w:t>
            </w:r>
          </w:p>
        </w:tc>
        <w:tc>
          <w:tcPr>
            <w:tcW w:w="1333" w:type="dxa"/>
            <w:tcBorders>
              <w:top w:val="single" w:color="auto" w:sz="4" w:space="0"/>
              <w:left w:val="single" w:color="auto" w:sz="4" w:space="0"/>
              <w:bottom w:val="single" w:color="auto" w:sz="4" w:space="0"/>
              <w:right w:val="single" w:color="auto" w:sz="4" w:space="0"/>
            </w:tcBorders>
            <w:noWrap w:val="0"/>
            <w:vAlign w:val="center"/>
          </w:tcPr>
          <w:p w14:paraId="401A4FF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单价（元）</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5DB99CB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1355" w:type="dxa"/>
            <w:tcBorders>
              <w:top w:val="single" w:color="auto" w:sz="4" w:space="0"/>
              <w:left w:val="single" w:color="auto" w:sz="4" w:space="0"/>
              <w:bottom w:val="single" w:color="auto" w:sz="4" w:space="0"/>
              <w:right w:val="single" w:color="auto" w:sz="4" w:space="0"/>
            </w:tcBorders>
            <w:noWrap w:val="0"/>
            <w:vAlign w:val="center"/>
          </w:tcPr>
          <w:p w14:paraId="6C52773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金额（元）</w:t>
            </w:r>
          </w:p>
        </w:tc>
      </w:tr>
      <w:tr w14:paraId="142A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7BE2454F">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sz w:val="24"/>
                <w:szCs w:val="24"/>
                <w:highlight w:val="none"/>
                <w:u w:val="none"/>
                <w:lang w:val="en-US" w:eastAsia="zh-CN"/>
              </w:rPr>
              <w:t>云影像</w:t>
            </w:r>
            <w:r>
              <w:rPr>
                <w:rFonts w:hint="eastAsia" w:ascii="宋体" w:hAnsi="宋体" w:eastAsia="宋体" w:cs="宋体"/>
                <w:bCs/>
                <w:color w:val="auto"/>
                <w:sz w:val="24"/>
                <w:szCs w:val="24"/>
                <w:highlight w:val="none"/>
                <w:u w:val="none"/>
              </w:rPr>
              <w:t>系统</w:t>
            </w:r>
            <w:r>
              <w:rPr>
                <w:rFonts w:hint="eastAsia" w:ascii="宋体" w:hAnsi="宋体" w:eastAsia="宋体" w:cs="宋体"/>
                <w:bCs/>
                <w:color w:val="auto"/>
                <w:sz w:val="24"/>
                <w:szCs w:val="24"/>
                <w:highlight w:val="none"/>
                <w:u w:val="none"/>
                <w:lang w:val="en-US" w:eastAsia="zh-CN"/>
              </w:rPr>
              <w:t>软件</w:t>
            </w:r>
          </w:p>
        </w:tc>
        <w:tc>
          <w:tcPr>
            <w:tcW w:w="1340" w:type="dxa"/>
            <w:tcBorders>
              <w:top w:val="single" w:color="auto" w:sz="4" w:space="0"/>
              <w:left w:val="single" w:color="auto" w:sz="4" w:space="0"/>
              <w:bottom w:val="single" w:color="auto" w:sz="4" w:space="0"/>
              <w:right w:val="single" w:color="auto" w:sz="4" w:space="0"/>
            </w:tcBorders>
            <w:noWrap w:val="0"/>
            <w:vAlign w:val="center"/>
          </w:tcPr>
          <w:p w14:paraId="47BE577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c>
          <w:tcPr>
            <w:tcW w:w="1427" w:type="dxa"/>
            <w:tcBorders>
              <w:top w:val="single" w:color="auto" w:sz="4" w:space="0"/>
              <w:left w:val="single" w:color="auto" w:sz="4" w:space="0"/>
              <w:bottom w:val="single" w:color="auto" w:sz="4" w:space="0"/>
              <w:right w:val="single" w:color="auto" w:sz="4" w:space="0"/>
            </w:tcBorders>
            <w:noWrap w:val="0"/>
            <w:vAlign w:val="center"/>
          </w:tcPr>
          <w:p w14:paraId="6E73B8A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c>
          <w:tcPr>
            <w:tcW w:w="1333" w:type="dxa"/>
            <w:tcBorders>
              <w:top w:val="single" w:color="auto" w:sz="4" w:space="0"/>
              <w:left w:val="single" w:color="auto" w:sz="4" w:space="0"/>
              <w:right w:val="single" w:color="auto" w:sz="4" w:space="0"/>
            </w:tcBorders>
            <w:noWrap w:val="0"/>
            <w:vAlign w:val="center"/>
          </w:tcPr>
          <w:p w14:paraId="26433E6A">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rPr>
            </w:pPr>
          </w:p>
        </w:tc>
        <w:tc>
          <w:tcPr>
            <w:tcW w:w="762" w:type="dxa"/>
            <w:tcBorders>
              <w:top w:val="single" w:color="auto" w:sz="4" w:space="0"/>
              <w:left w:val="single" w:color="auto" w:sz="4" w:space="0"/>
              <w:right w:val="single" w:color="auto" w:sz="4" w:space="0"/>
            </w:tcBorders>
            <w:noWrap w:val="0"/>
            <w:vAlign w:val="center"/>
          </w:tcPr>
          <w:p w14:paraId="413813DC">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rPr>
            </w:pPr>
          </w:p>
        </w:tc>
        <w:tc>
          <w:tcPr>
            <w:tcW w:w="1355" w:type="dxa"/>
            <w:tcBorders>
              <w:top w:val="single" w:color="auto" w:sz="4" w:space="0"/>
              <w:left w:val="single" w:color="auto" w:sz="4" w:space="0"/>
              <w:right w:val="single" w:color="auto" w:sz="4" w:space="0"/>
            </w:tcBorders>
            <w:noWrap w:val="0"/>
            <w:vAlign w:val="center"/>
          </w:tcPr>
          <w:p w14:paraId="2427D537">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rPr>
            </w:pPr>
          </w:p>
        </w:tc>
      </w:tr>
      <w:tr w14:paraId="7A006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73C7250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r>
              <w:rPr>
                <w:rFonts w:hint="eastAsia" w:eastAsia="宋体"/>
                <w:color w:val="auto"/>
                <w:spacing w:val="-8"/>
                <w:sz w:val="24"/>
                <w:szCs w:val="24"/>
                <w:highlight w:val="none"/>
                <w:u w:val="none"/>
                <w:lang w:val="en-US" w:eastAsia="zh-CN"/>
              </w:rPr>
              <w:t>服务器1</w:t>
            </w:r>
          </w:p>
        </w:tc>
        <w:tc>
          <w:tcPr>
            <w:tcW w:w="1340" w:type="dxa"/>
            <w:tcBorders>
              <w:top w:val="single" w:color="auto" w:sz="4" w:space="0"/>
              <w:left w:val="single" w:color="auto" w:sz="4" w:space="0"/>
              <w:right w:val="single" w:color="auto" w:sz="4" w:space="0"/>
            </w:tcBorders>
            <w:noWrap w:val="0"/>
            <w:vAlign w:val="center"/>
          </w:tcPr>
          <w:p w14:paraId="7417086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sz w:val="24"/>
                <w:szCs w:val="24"/>
                <w:highlight w:val="none"/>
              </w:rPr>
            </w:pPr>
          </w:p>
        </w:tc>
        <w:tc>
          <w:tcPr>
            <w:tcW w:w="1427" w:type="dxa"/>
            <w:tcBorders>
              <w:top w:val="single" w:color="auto" w:sz="4" w:space="0"/>
              <w:left w:val="single" w:color="auto" w:sz="4" w:space="0"/>
              <w:right w:val="single" w:color="auto" w:sz="4" w:space="0"/>
            </w:tcBorders>
            <w:noWrap w:val="0"/>
            <w:vAlign w:val="center"/>
          </w:tcPr>
          <w:p w14:paraId="5720C21E">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rPr>
            </w:pPr>
          </w:p>
        </w:tc>
        <w:tc>
          <w:tcPr>
            <w:tcW w:w="1333" w:type="dxa"/>
            <w:tcBorders>
              <w:left w:val="single" w:color="auto" w:sz="4" w:space="0"/>
              <w:right w:val="single" w:color="auto" w:sz="4" w:space="0"/>
            </w:tcBorders>
            <w:noWrap w:val="0"/>
            <w:vAlign w:val="center"/>
          </w:tcPr>
          <w:p w14:paraId="3E4D73C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c>
          <w:tcPr>
            <w:tcW w:w="762" w:type="dxa"/>
            <w:tcBorders>
              <w:left w:val="single" w:color="auto" w:sz="4" w:space="0"/>
              <w:right w:val="single" w:color="auto" w:sz="4" w:space="0"/>
            </w:tcBorders>
            <w:noWrap w:val="0"/>
            <w:vAlign w:val="center"/>
          </w:tcPr>
          <w:p w14:paraId="154A1C47">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p>
        </w:tc>
        <w:tc>
          <w:tcPr>
            <w:tcW w:w="1355" w:type="dxa"/>
            <w:tcBorders>
              <w:left w:val="single" w:color="auto" w:sz="4" w:space="0"/>
              <w:right w:val="single" w:color="auto" w:sz="4" w:space="0"/>
            </w:tcBorders>
            <w:noWrap w:val="0"/>
            <w:vAlign w:val="center"/>
          </w:tcPr>
          <w:p w14:paraId="7C7A22A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r>
      <w:tr w14:paraId="2B26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1387C3D7">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eastAsiaTheme="minorEastAsia"/>
                <w:color w:val="auto"/>
                <w:spacing w:val="-8"/>
                <w:sz w:val="24"/>
                <w:szCs w:val="24"/>
                <w:highlight w:val="none"/>
                <w:u w:val="none"/>
                <w:lang w:val="en-US" w:eastAsia="zh-CN"/>
              </w:rPr>
            </w:pPr>
            <w:r>
              <w:rPr>
                <w:rFonts w:hint="eastAsia"/>
                <w:color w:val="auto"/>
                <w:spacing w:val="-8"/>
                <w:sz w:val="24"/>
                <w:szCs w:val="24"/>
                <w:highlight w:val="none"/>
                <w:u w:val="none"/>
                <w:lang w:val="en-US" w:eastAsia="zh-CN"/>
              </w:rPr>
              <w:t>服务器</w:t>
            </w:r>
          </w:p>
        </w:tc>
        <w:tc>
          <w:tcPr>
            <w:tcW w:w="1340" w:type="dxa"/>
            <w:tcBorders>
              <w:left w:val="single" w:color="auto" w:sz="4" w:space="0"/>
              <w:bottom w:val="single" w:color="auto" w:sz="4" w:space="0"/>
              <w:right w:val="single" w:color="auto" w:sz="4" w:space="0"/>
            </w:tcBorders>
            <w:noWrap w:val="0"/>
            <w:vAlign w:val="center"/>
          </w:tcPr>
          <w:p w14:paraId="41CA9416">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center"/>
              <w:textAlignment w:val="auto"/>
              <w:rPr>
                <w:rFonts w:hint="eastAsia" w:ascii="宋体" w:hAnsi="宋体" w:eastAsia="宋体" w:cs="宋体"/>
                <w:color w:val="auto"/>
                <w:kern w:val="2"/>
                <w:sz w:val="24"/>
                <w:szCs w:val="24"/>
                <w:highlight w:val="none"/>
                <w:lang w:val="en-US" w:eastAsia="zh-CN" w:bidi="ar-SA"/>
              </w:rPr>
            </w:pPr>
          </w:p>
        </w:tc>
        <w:tc>
          <w:tcPr>
            <w:tcW w:w="1427" w:type="dxa"/>
            <w:tcBorders>
              <w:left w:val="single" w:color="auto" w:sz="4" w:space="0"/>
              <w:bottom w:val="single" w:color="auto" w:sz="4" w:space="0"/>
              <w:right w:val="single" w:color="auto" w:sz="4" w:space="0"/>
            </w:tcBorders>
            <w:noWrap w:val="0"/>
            <w:vAlign w:val="center"/>
          </w:tcPr>
          <w:p w14:paraId="52646983">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center"/>
              <w:textAlignment w:val="auto"/>
              <w:rPr>
                <w:rFonts w:hint="eastAsia" w:ascii="宋体" w:hAnsi="宋体" w:eastAsia="宋体" w:cs="宋体"/>
                <w:color w:val="auto"/>
                <w:kern w:val="0"/>
                <w:sz w:val="24"/>
                <w:szCs w:val="24"/>
                <w:highlight w:val="none"/>
                <w:lang w:val="en-US" w:eastAsia="zh-CN" w:bidi="ar-SA"/>
              </w:rPr>
            </w:pPr>
          </w:p>
        </w:tc>
        <w:tc>
          <w:tcPr>
            <w:tcW w:w="1333" w:type="dxa"/>
            <w:tcBorders>
              <w:left w:val="single" w:color="auto" w:sz="4" w:space="0"/>
              <w:bottom w:val="single" w:color="auto" w:sz="4" w:space="0"/>
              <w:right w:val="single" w:color="auto" w:sz="4" w:space="0"/>
            </w:tcBorders>
            <w:noWrap w:val="0"/>
            <w:vAlign w:val="center"/>
          </w:tcPr>
          <w:p w14:paraId="04A5485F">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p>
        </w:tc>
        <w:tc>
          <w:tcPr>
            <w:tcW w:w="762" w:type="dxa"/>
            <w:tcBorders>
              <w:left w:val="single" w:color="auto" w:sz="4" w:space="0"/>
              <w:bottom w:val="single" w:color="auto" w:sz="4" w:space="0"/>
              <w:right w:val="single" w:color="auto" w:sz="4" w:space="0"/>
            </w:tcBorders>
            <w:noWrap w:val="0"/>
            <w:vAlign w:val="center"/>
          </w:tcPr>
          <w:p w14:paraId="0FA5A0DE">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p>
        </w:tc>
        <w:tc>
          <w:tcPr>
            <w:tcW w:w="1355" w:type="dxa"/>
            <w:tcBorders>
              <w:left w:val="single" w:color="auto" w:sz="4" w:space="0"/>
              <w:bottom w:val="single" w:color="auto" w:sz="4" w:space="0"/>
              <w:right w:val="single" w:color="auto" w:sz="4" w:space="0"/>
            </w:tcBorders>
            <w:noWrap w:val="0"/>
            <w:vAlign w:val="center"/>
          </w:tcPr>
          <w:p w14:paraId="0A9D534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p>
        </w:tc>
      </w:tr>
      <w:tr w14:paraId="5293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522" w:type="dxa"/>
            <w:gridSpan w:val="5"/>
            <w:tcBorders>
              <w:top w:val="single" w:color="auto" w:sz="4" w:space="0"/>
              <w:left w:val="single" w:color="auto" w:sz="4" w:space="0"/>
              <w:bottom w:val="single" w:color="auto" w:sz="4" w:space="0"/>
              <w:right w:val="single" w:color="auto" w:sz="4" w:space="0"/>
            </w:tcBorders>
            <w:noWrap w:val="0"/>
            <w:vAlign w:val="center"/>
          </w:tcPr>
          <w:p w14:paraId="789599AC">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合计金额</w:t>
            </w:r>
            <w:r>
              <w:rPr>
                <w:rFonts w:hint="eastAsia" w:ascii="宋体" w:hAnsi="宋体" w:cs="宋体"/>
                <w:color w:val="auto"/>
                <w:kern w:val="0"/>
                <w:sz w:val="24"/>
                <w:szCs w:val="24"/>
                <w:highlight w:val="none"/>
                <w:lang w:eastAsia="zh-CN"/>
              </w:rPr>
              <w:t>：</w:t>
            </w:r>
          </w:p>
        </w:tc>
        <w:tc>
          <w:tcPr>
            <w:tcW w:w="1355" w:type="dxa"/>
            <w:tcBorders>
              <w:top w:val="single" w:color="auto" w:sz="4" w:space="0"/>
              <w:left w:val="single" w:color="auto" w:sz="4" w:space="0"/>
              <w:bottom w:val="single" w:color="auto" w:sz="4" w:space="0"/>
              <w:right w:val="single" w:color="auto" w:sz="4" w:space="0"/>
            </w:tcBorders>
            <w:noWrap w:val="0"/>
            <w:vAlign w:val="center"/>
          </w:tcPr>
          <w:p w14:paraId="5737178E">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rPr>
            </w:pPr>
          </w:p>
        </w:tc>
      </w:tr>
    </w:tbl>
    <w:p w14:paraId="447EA9C9">
      <w:pPr>
        <w:pStyle w:val="2"/>
        <w:rPr>
          <w:rFonts w:hint="default" w:ascii="仿宋" w:hAnsi="仿宋" w:eastAsia="仿宋" w:cs="仿宋"/>
          <w:bCs/>
          <w:color w:val="auto"/>
          <w:kern w:val="0"/>
          <w:sz w:val="24"/>
          <w:szCs w:val="24"/>
          <w:lang w:val="en-US" w:eastAsia="zh-CN" w:bidi="ar-SA"/>
        </w:rPr>
      </w:pP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5A3C9BC5">
      <w:pPr>
        <w:pStyle w:val="2"/>
        <w:rPr>
          <w:rFonts w:hint="eastAsia"/>
          <w:lang w:val="en-US" w:eastAsia="zh-CN"/>
        </w:rPr>
      </w:pPr>
      <w:r>
        <w:rPr>
          <w:rFonts w:hint="eastAsia" w:ascii="仿宋" w:hAnsi="仿宋" w:eastAsia="仿宋" w:cs="仿宋"/>
          <w:bCs/>
          <w:color w:val="auto"/>
          <w:kern w:val="0"/>
          <w:sz w:val="24"/>
          <w:szCs w:val="24"/>
          <w:lang w:val="en-US" w:eastAsia="zh-CN" w:bidi="ar-SA"/>
        </w:rPr>
        <w:t>（一）项目清单、技术参数要求：</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3"/>
        <w:gridCol w:w="1164"/>
        <w:gridCol w:w="6416"/>
        <w:gridCol w:w="673"/>
        <w:gridCol w:w="646"/>
      </w:tblGrid>
      <w:tr w14:paraId="3A685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0D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B46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采购内容</w:t>
            </w:r>
          </w:p>
        </w:tc>
        <w:tc>
          <w:tcPr>
            <w:tcW w:w="3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32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参数</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A58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BA5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r>
      <w:tr w14:paraId="2F4A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38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39D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云</w:t>
            </w:r>
            <w:r>
              <w:rPr>
                <w:rFonts w:hint="eastAsia" w:ascii="宋体" w:hAnsi="宋体" w:eastAsia="宋体" w:cs="宋体"/>
                <w:i w:val="0"/>
                <w:iCs w:val="0"/>
                <w:color w:val="000000"/>
                <w:kern w:val="0"/>
                <w:sz w:val="20"/>
                <w:szCs w:val="20"/>
                <w:u w:val="none"/>
                <w:lang w:val="en-US" w:eastAsia="zh-CN" w:bidi="ar"/>
              </w:rPr>
              <w:t>影像服务软件</w:t>
            </w:r>
          </w:p>
        </w:tc>
        <w:tc>
          <w:tcPr>
            <w:tcW w:w="3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ADF28">
            <w:pPr>
              <w:keepNext w:val="0"/>
              <w:keepLines w:val="0"/>
              <w:widowControl/>
              <w:numPr>
                <w:ilvl w:val="0"/>
                <w:numId w:val="2"/>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历史放射报告数据查询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支持患者接收放射报告和影像，并能够查询这些信息，为影像诊断提供延伸性数据支撑功能。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具备通过系统消息提示患者进行报告及影像查阅功能。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具备自动将患者的检查报告及影像推送至微信端功能。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查看患者在医院的各项信息，包括显示患者基本信息，如姓名、性别、年龄、卡号等功能，显示患者相关检查信息，如医院、送检科室、检查号、检查日期、检查类型、检查项目、检查方法、报告医生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具备患者管理自己的报告及影像信息，管理不同时期、不同类型影像检查产生的报告及电子胶片功能。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支持通过医院微信号即可查询到个人的检查报告及影像信息功能。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2、调阅放射影像数据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具备在影像上传前，采用无损压缩方式，将影像进行压缩上传功能。影像下载后，再进行影像解压功能。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具备保障影像加载速度又需要保证图像精度功能。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具备在移动端界面上，查看患者相对应的全序列影像数据，并可实现左右滑动来实现影像的动态展示功能。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具备对移动端DICOM影像下载及浏览服务的权限控制功能。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具备移动端浏览影像，并具备基本浏览功能，可实现平移、缩放、翻页、播放、测量、窗宽窗位调整、定位线等二维处理功能。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具备新建3D布局，以适用于MPR/MIP//MinIP等的三维功能显示功能。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3、二维码分享报告、影像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具备通过扫描报告上的二维码来查看相对应全序列影像数据，并可实现左右滑动来实现影像的动态展示功能。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具备在报告详情页最下方长按二维码保存，转发给他人后扫描二维码即可查阅全序列影像功能。</w:t>
            </w:r>
          </w:p>
          <w:p w14:paraId="64F25149">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具备报告保存，影像下载功能。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4、二维码分享时效设置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具备移动端报告详情页的二维码有效期限可以自定义功能。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5、报告水印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具备在报告详情页自动显示包含登录用户的用户名和打开时间的水印，保障数据的安全性功能。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cs="宋体"/>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、统计分析服务</w:t>
            </w:r>
          </w:p>
          <w:p w14:paraId="0C3F7D1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1）医院工作量：按医技科室、检查类型、检查部位，统计日期范围内的各类检查数据，并提供图表分析。</w:t>
            </w:r>
          </w:p>
          <w:p w14:paraId="4E628A3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2）每日工作量：按医技科室、检查类型、检查部位，统计日期范围内的每天的各类检查数据，并提供图表分析。</w:t>
            </w:r>
          </w:p>
          <w:p w14:paraId="246E833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3）设备工作量：按设备统计日期范围内的各影像设备的检查数量，并提供图表分析。</w:t>
            </w:r>
          </w:p>
          <w:p w14:paraId="27F3DE1A">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4）患者浏览分析：按医技科室、检查类型，统计在指定日期范围内的工作时段每小时的患者检查人次，并提供图表分析。</w:t>
            </w:r>
          </w:p>
          <w:p w14:paraId="08213D6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7、其他技术参数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多渠道便捷访问</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提供“线下报告单二维码”与“线上公众号”双入口。患者扫描纸质报告单上的专属二维码即可秒查，或通过医院公众号随时调阅，实现线上线下一体化的便捷服务体验</w:t>
            </w:r>
            <w:r>
              <w:rPr>
                <w:rFonts w:hint="eastAsia" w:ascii="宋体" w:hAnsi="宋体" w:cs="宋体"/>
                <w:i w:val="0"/>
                <w:iCs w:val="0"/>
                <w:color w:val="000000"/>
                <w:kern w:val="0"/>
                <w:sz w:val="20"/>
                <w:szCs w:val="20"/>
                <w:u w:val="none"/>
                <w:lang w:val="en-US" w:eastAsia="zh-CN" w:bidi="ar"/>
              </w:rPr>
              <w:t>，</w:t>
            </w:r>
            <w:r>
              <w:rPr>
                <w:rFonts w:hint="eastAsia" w:ascii="宋体" w:hAnsi="宋体" w:cs="宋体"/>
                <w:i w:val="0"/>
                <w:iCs w:val="0"/>
                <w:color w:val="FF0000"/>
                <w:kern w:val="0"/>
                <w:sz w:val="20"/>
                <w:szCs w:val="20"/>
                <w:u w:val="none"/>
                <w:lang w:val="en-US" w:eastAsia="zh-CN" w:bidi="ar"/>
              </w:rPr>
              <w:t>二维码扫码需进行双因子身份认证</w:t>
            </w:r>
            <w:r>
              <w:rPr>
                <w:rFonts w:hint="eastAsia" w:ascii="宋体" w:hAnsi="宋体" w:eastAsia="宋体" w:cs="宋体"/>
                <w:i w:val="0"/>
                <w:iCs w:val="0"/>
                <w:color w:val="FF0000"/>
                <w:kern w:val="0"/>
                <w:sz w:val="20"/>
                <w:szCs w:val="20"/>
                <w:u w:val="none"/>
                <w:lang w:val="en-US" w:eastAsia="zh-CN" w:bidi="ar"/>
              </w:rPr>
              <w:t>。</w:t>
            </w:r>
          </w:p>
          <w:p w14:paraId="06FBA2F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诊疗指标智能可视化</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支持关键检验指标的历史趋势图对比功能，图形化呈现指标变化，辅助医生进行精准病情研判与追踪，极大提升诊断效率与质量。</w:t>
            </w:r>
          </w:p>
          <w:p w14:paraId="187380A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数据安全隔离存储</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采用独立的中间库存储架构，实现影像数据与业务系统的物理隔离。通过严格的权限管控与安全策略，确保患者隐私数据的高度安全性与可靠性。</w:t>
            </w:r>
          </w:p>
          <w:p w14:paraId="24ECB65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可控分享与隐私保护</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支持生成具有访问时效的加密分享二维码。分享链接可自定义有效期，超时后自动失效，彻底杜绝信息二次泄露风险，</w:t>
            </w:r>
            <w:r>
              <w:rPr>
                <w:rFonts w:hint="eastAsia" w:ascii="宋体" w:hAnsi="宋体" w:eastAsia="宋体" w:cs="宋体"/>
                <w:i w:val="0"/>
                <w:iCs w:val="0"/>
                <w:color w:val="000000"/>
                <w:sz w:val="20"/>
                <w:szCs w:val="20"/>
                <w:u w:val="none"/>
                <w:lang w:val="en-US" w:eastAsia="zh-CN"/>
              </w:rPr>
              <w:t>保障患者信息安全。</w:t>
            </w:r>
          </w:p>
          <w:p w14:paraId="03568D0B">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5）可实现病人扫描报告单上云影像二维码统一查看院内所有开展的检查，检验报告结果。</w:t>
            </w:r>
          </w:p>
          <w:p w14:paraId="060C727F">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6）可实现医生发布病人云影像报告后，推送云影像链接地址到病人手机短信，病人可直接点击链接地址查看云影像报告。</w:t>
            </w:r>
          </w:p>
          <w:p w14:paraId="7718A5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7）系统需要与院内系统数据互联互通，涉及到的院内系统改造费用（含第三方费用）和接口费用均包含在报价内，采购人不再支付其他任何费用。</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E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3AD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27E1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C86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DD8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服务器</w:t>
            </w:r>
          </w:p>
        </w:tc>
        <w:tc>
          <w:tcPr>
            <w:tcW w:w="3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794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1、服务器标准机架式服务器，高度≥2U，标配原厂导轨;</w:t>
            </w:r>
          </w:p>
          <w:p w14:paraId="0C1961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2、CPU:配置≥2颗处理器，单颗CPU≥16核，</w:t>
            </w:r>
            <w:r>
              <w:rPr>
                <w:rFonts w:hint="eastAsia" w:ascii="宋体" w:hAnsi="宋体" w:eastAsia="宋体" w:cs="宋体"/>
                <w:i w:val="0"/>
                <w:iCs w:val="0"/>
                <w:color w:val="000000"/>
                <w:sz w:val="20"/>
                <w:szCs w:val="20"/>
                <w:highlight w:val="yellow"/>
                <w:u w:val="none"/>
              </w:rPr>
              <w:t>主频≥2.8GHz</w:t>
            </w:r>
            <w:r>
              <w:rPr>
                <w:rFonts w:hint="eastAsia" w:ascii="宋体" w:hAnsi="宋体" w:eastAsia="宋体" w:cs="宋体"/>
                <w:i w:val="0"/>
                <w:iCs w:val="0"/>
                <w:color w:val="000000"/>
                <w:sz w:val="20"/>
                <w:szCs w:val="20"/>
                <w:u w:val="none"/>
              </w:rPr>
              <w:t>;</w:t>
            </w:r>
          </w:p>
          <w:p w14:paraId="7EBF5F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3、内存:配置≥32个内存插槽，≥2个64GB  DDR5内存模块，支持最大容量12TB，支持RDIMM或LRDIMM;</w:t>
            </w:r>
          </w:p>
          <w:p w14:paraId="666A32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 xml:space="preserve">4、硬盘:配置≥8个SFF热插拔硬盘槽位，≥2个480GB SATA SSD 硬盘，≥2个3.84T  </w:t>
            </w:r>
            <w:r>
              <w:rPr>
                <w:rFonts w:hint="eastAsia" w:ascii="宋体" w:hAnsi="宋体" w:eastAsia="宋体" w:cs="宋体"/>
                <w:i w:val="0"/>
                <w:iCs w:val="0"/>
                <w:color w:val="000000"/>
                <w:sz w:val="20"/>
                <w:szCs w:val="20"/>
                <w:highlight w:val="yellow"/>
                <w:u w:val="none"/>
              </w:rPr>
              <w:t>Nvme SSD</w:t>
            </w:r>
            <w:r>
              <w:rPr>
                <w:rFonts w:hint="eastAsia" w:ascii="宋体" w:hAnsi="宋体" w:eastAsia="宋体" w:cs="宋体"/>
                <w:i w:val="0"/>
                <w:iCs w:val="0"/>
                <w:color w:val="000000"/>
                <w:sz w:val="20"/>
                <w:szCs w:val="20"/>
                <w:u w:val="none"/>
              </w:rPr>
              <w:t>硬盘，支持SAS/SATA HDD/SSD/NVMe硬盘，支持2个M.2扩展</w:t>
            </w:r>
          </w:p>
          <w:p w14:paraId="5D3887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5、阵列控制卡:配置≥1块12Gb 2端口SAS HBA卡，配置VROC模块，支持RAID0/1/</w:t>
            </w:r>
            <w:r>
              <w:rPr>
                <w:rFonts w:hint="eastAsia" w:ascii="宋体" w:hAnsi="宋体" w:cs="宋体"/>
                <w:i w:val="0"/>
                <w:iCs w:val="0"/>
                <w:color w:val="000000"/>
                <w:sz w:val="20"/>
                <w:szCs w:val="20"/>
                <w:u w:val="none"/>
                <w:lang w:val="en-US" w:eastAsia="zh-CN"/>
              </w:rPr>
              <w:t>5/6/</w:t>
            </w:r>
            <w:r>
              <w:rPr>
                <w:rFonts w:hint="eastAsia" w:ascii="宋体" w:hAnsi="宋体" w:eastAsia="宋体" w:cs="宋体"/>
                <w:i w:val="0"/>
                <w:iCs w:val="0"/>
                <w:color w:val="000000"/>
                <w:sz w:val="20"/>
                <w:szCs w:val="20"/>
                <w:u w:val="none"/>
              </w:rPr>
              <w:t>10</w:t>
            </w:r>
            <w:r>
              <w:rPr>
                <w:rFonts w:hint="eastAsia" w:ascii="宋体" w:hAnsi="宋体" w:cs="宋体"/>
                <w:i w:val="0"/>
                <w:iCs w:val="0"/>
                <w:color w:val="000000"/>
                <w:sz w:val="20"/>
                <w:szCs w:val="20"/>
                <w:u w:val="none"/>
                <w:lang w:val="en-US" w:eastAsia="zh-CN"/>
              </w:rPr>
              <w:t>/50/60</w:t>
            </w:r>
            <w:r>
              <w:rPr>
                <w:rFonts w:hint="eastAsia" w:ascii="宋体" w:hAnsi="宋体" w:eastAsia="宋体" w:cs="宋体"/>
                <w:i w:val="0"/>
                <w:iCs w:val="0"/>
                <w:color w:val="000000"/>
                <w:sz w:val="20"/>
                <w:szCs w:val="20"/>
                <w:u w:val="none"/>
              </w:rPr>
              <w:t>；</w:t>
            </w:r>
          </w:p>
          <w:p w14:paraId="35892A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6、网卡:配置≥4个千兆电口，≥2块双端口10G 网卡(含模块);</w:t>
            </w:r>
          </w:p>
          <w:p w14:paraId="79C6A8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7、冗余电源:配置≥2个800w热插拔冗余电源，支持1+1冗余，支持热插拔冗余风扇。</w:t>
            </w:r>
          </w:p>
          <w:p w14:paraId="412E5251">
            <w:pPr>
              <w:keepNext w:val="0"/>
              <w:keepLines w:val="0"/>
              <w:widowControl/>
              <w:suppressLineNumbers w:val="0"/>
              <w:jc w:val="left"/>
              <w:textAlignment w:val="center"/>
              <w:rPr>
                <w:rFonts w:hint="eastAsia"/>
                <w:lang w:eastAsia="zh-CN"/>
              </w:rPr>
            </w:pPr>
            <w:r>
              <w:rPr>
                <w:rFonts w:hint="eastAsia" w:ascii="宋体" w:hAnsi="宋体" w:eastAsia="宋体" w:cs="宋体"/>
                <w:i w:val="0"/>
                <w:iCs w:val="0"/>
                <w:color w:val="000000"/>
                <w:sz w:val="20"/>
                <w:szCs w:val="20"/>
                <w:u w:val="none"/>
              </w:rPr>
              <w:t>8、售后服务：提供原厂三年免费上门服务。</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F14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10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3C128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CD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5AF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服务器</w:t>
            </w:r>
          </w:p>
        </w:tc>
        <w:tc>
          <w:tcPr>
            <w:tcW w:w="3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CCB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1、机型：标准机架式服务器，高度≥2U，标配原厂导轨；</w:t>
            </w:r>
          </w:p>
          <w:p w14:paraId="5A0E2F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2、CPU型号：配置≥2颗国产C86架构Hygon 7280处理器，单颗CPU≥32核，主频≥2.0 GHz；</w:t>
            </w:r>
          </w:p>
          <w:p w14:paraId="172E25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3、内存：配置≥32个内存插槽，≥4个64GB 3200MHz DDR4内存模块，支持最大容量4.0TB，支持高级ECC；</w:t>
            </w:r>
          </w:p>
          <w:p w14:paraId="0384B901">
            <w:pPr>
              <w:keepNext w:val="0"/>
              <w:keepLines w:val="0"/>
              <w:widowControl/>
              <w:suppressLineNumbers w:val="0"/>
              <w:jc w:val="left"/>
              <w:textAlignment w:val="center"/>
              <w:rPr>
                <w:rFonts w:hint="eastAsia" w:eastAsia="宋体"/>
                <w:lang w:eastAsia="zh-CN"/>
              </w:rPr>
            </w:pPr>
            <w:r>
              <w:rPr>
                <w:rFonts w:hint="eastAsia" w:ascii="宋体" w:hAnsi="宋体" w:eastAsia="宋体" w:cs="宋体"/>
                <w:i w:val="0"/>
                <w:iCs w:val="0"/>
                <w:color w:val="000000"/>
                <w:sz w:val="20"/>
                <w:szCs w:val="20"/>
                <w:u w:val="none"/>
              </w:rPr>
              <w:t xml:space="preserve">4、硬盘：配置≥12个LFF热插拔硬盘槽位，≥2个480GB SATA SSD硬盘，≥3个3.84T </w:t>
            </w:r>
            <w:r>
              <w:rPr>
                <w:rFonts w:hint="eastAsia" w:ascii="宋体" w:hAnsi="宋体" w:eastAsia="宋体" w:cs="宋体"/>
                <w:i w:val="0"/>
                <w:iCs w:val="0"/>
                <w:color w:val="000000"/>
                <w:sz w:val="20"/>
                <w:szCs w:val="20"/>
                <w:highlight w:val="yellow"/>
                <w:u w:val="none"/>
              </w:rPr>
              <w:t>SAS SSD</w:t>
            </w:r>
            <w:r>
              <w:rPr>
                <w:rFonts w:hint="eastAsia" w:ascii="宋体" w:hAnsi="宋体" w:eastAsia="宋体" w:cs="宋体"/>
                <w:i w:val="0"/>
                <w:iCs w:val="0"/>
                <w:color w:val="000000"/>
                <w:sz w:val="20"/>
                <w:szCs w:val="20"/>
                <w:u w:val="none"/>
              </w:rPr>
              <w:t xml:space="preserve"> 硬盘。</w:t>
            </w:r>
          </w:p>
          <w:p w14:paraId="5EBA6E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5、阵列控制卡：配置≥1块8口  12Gbps SAS RAID阵列卡（带2GB缓存），支持RAID0/1/5/6/10/50/60，支持缓存数据保护，且后备保护时间不受限制；</w:t>
            </w:r>
          </w:p>
          <w:p w14:paraId="222611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6、网卡：配置≥4个千兆电口，≥2块双端口10G 网卡（含模块）；</w:t>
            </w:r>
          </w:p>
          <w:p w14:paraId="161611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7、冗余电源：配置≥2个800w热插拔冗余电源，配置热插拔冗余风扇；</w:t>
            </w:r>
          </w:p>
          <w:p w14:paraId="185E9640">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rPr>
              <w:t>8、售后服务：提供原厂三年免费上门服务。</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94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70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bl>
    <w:p w14:paraId="35C164CC">
      <w:pPr>
        <w:pStyle w:val="4"/>
        <w:pageBreakBefore w:val="0"/>
        <w:kinsoku/>
        <w:wordWrap/>
        <w:overflowPunct/>
        <w:topLinePunct w:val="0"/>
        <w:autoSpaceDE/>
        <w:autoSpaceDN/>
        <w:bidi w:val="0"/>
        <w:spacing w:line="360" w:lineRule="auto"/>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（二）质量要求</w:t>
      </w:r>
    </w:p>
    <w:p w14:paraId="4F93E588">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1、外观：供应商所投货物必须是全新原装未开封的品牌设备，所有设备和材料必须完好无损，如有损坏供应商必须无偿更换，项目整体外观需符合相关标准要求，无损毁。</w:t>
      </w:r>
    </w:p>
    <w:p w14:paraId="03FD4D65">
      <w:pPr>
        <w:pStyle w:val="2"/>
        <w:ind w:left="0" w:leftChars="0" w:firstLine="480" w:firstLineChars="200"/>
        <w:rPr>
          <w:rFonts w:hint="default"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2、质量：如中标人应交付的硬件设备属于国产设备，则应保证该设备为交付时起近6个月内生产的产品；如中标人应交付的硬件设备属于进口设备，则应保证该设备为交付时起近一年内生产的产品。为保证项目服务质量以及质保期内的维保，供应商所投的服务器产品需提供原厂授权及售后服务承诺函。（供应商应在响应文件中进行承诺并说明中标后提供原厂授权及售后服务承诺函,中标后3个工作日内提供硬件的原厂授权和三年质保及及售后服务承诺函原件并加盖原厂公章）</w:t>
      </w:r>
    </w:p>
    <w:p w14:paraId="4E49B05D">
      <w:pPr>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3、质保：项目整体质保期一年，从验收合格后开始计算,涉及与国家政策文件相抵触的，以国家文件规定的质保期为准。质保期间维修，保证无偿修理完好，否则，按国家有关规定实行产品“三包”，超出厂家正常保修范围的，供应商需向厂家购买；未在投标报价表中单列其费用的，视为免费提供。并承诺到货检查及质保期内出现无法修复故障等情形必须按同型号无偿更换，如不能提供同种规格型号的产品，等提供免费平滑升级产品(平滑升级上一档次产品)，不再另外收取差价。在产品的使用寿命周期内，供应商应能保证使用方更换到原厂正宗的零部件，确保产品的正常使用。在使用过程若需要调换配件，在保修期内凡非使用者人为引起的，一切费用由供应商承担。质保期内出现任何质量问题（人为破坏或自然灾害等不可抗力除外），由供应商负责全免费（免全部工时费、材料费、管理费、财务费等等）更换或维修。质保期满后，无论采购人是否另行选择维保供应商，供应商应及时优惠提供所需的备品备件。</w:t>
      </w:r>
    </w:p>
    <w:p w14:paraId="66E7442E">
      <w:pPr>
        <w:pStyle w:val="16"/>
        <w:pageBreakBefore w:val="0"/>
        <w:kinsoku/>
        <w:wordWrap/>
        <w:overflowPunct/>
        <w:topLinePunct w:val="0"/>
        <w:autoSpaceDE/>
        <w:autoSpaceDN/>
        <w:bidi w:val="0"/>
        <w:spacing w:line="360" w:lineRule="auto"/>
        <w:ind w:firstLine="422"/>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4、团队能力：为保证项目可以按期保质保量交付，供应商中标后3个工作日内应针对本项目组建项目团队，团队成本应包含项目经理、运维人员，确保设备安装、调试达到正常运作要求，并保证采购人正常使用。项目经理应具有工信部门或人社部门颁发的通信专业技术人员职业资格（互联网技术专业）、具有计算机技术与软件专业技术资格（网络工程师专业）中级及以上资格证书；为保证项目售后服务质量，运维人员提供具有信息系统运维管理工程师高级证书。上述人员需提供供应商为其连续缴纳6个月社保证明</w:t>
      </w:r>
      <w:r>
        <w:rPr>
          <w:rFonts w:hint="eastAsia" w:ascii="仿宋" w:hAnsi="仿宋" w:eastAsia="仿宋" w:cs="仿宋"/>
          <w:b w:val="0"/>
          <w:bCs/>
          <w:color w:val="auto"/>
          <w:kern w:val="0"/>
          <w:sz w:val="24"/>
          <w:szCs w:val="24"/>
          <w:lang w:val="zh-CN" w:eastAsia="zh-CN" w:bidi="ar-SA"/>
        </w:rPr>
        <w:t>（供应商应在响应文件中进行承诺及说明</w:t>
      </w:r>
      <w:r>
        <w:rPr>
          <w:rFonts w:hint="eastAsia" w:ascii="仿宋" w:hAnsi="仿宋" w:eastAsia="仿宋" w:cs="仿宋"/>
          <w:b w:val="0"/>
          <w:bCs/>
          <w:color w:val="auto"/>
          <w:kern w:val="0"/>
          <w:sz w:val="24"/>
          <w:szCs w:val="24"/>
          <w:lang w:val="en-US" w:eastAsia="zh-CN" w:bidi="ar-SA"/>
        </w:rPr>
        <w:t>,中标后提供证明材料备查</w:t>
      </w:r>
      <w:r>
        <w:rPr>
          <w:rFonts w:hint="eastAsia" w:ascii="仿宋" w:hAnsi="仿宋" w:eastAsia="仿宋" w:cs="仿宋"/>
          <w:b w:val="0"/>
          <w:bCs/>
          <w:color w:val="auto"/>
          <w:kern w:val="0"/>
          <w:sz w:val="24"/>
          <w:szCs w:val="24"/>
          <w:lang w:val="zh-CN" w:eastAsia="zh-CN" w:bidi="ar-SA"/>
        </w:rPr>
        <w:t>）</w:t>
      </w:r>
    </w:p>
    <w:p w14:paraId="5244F09D">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baseline"/>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供应商</w:t>
      </w:r>
      <w:r>
        <w:rPr>
          <w:rFonts w:hint="eastAsia" w:ascii="仿宋" w:hAnsi="仿宋" w:eastAsia="仿宋" w:cs="仿宋"/>
          <w:b w:val="0"/>
          <w:bCs/>
          <w:color w:val="auto"/>
          <w:kern w:val="0"/>
          <w:sz w:val="24"/>
          <w:szCs w:val="24"/>
          <w:lang w:val="zh-CN" w:eastAsia="zh-CN" w:bidi="ar-SA"/>
        </w:rPr>
        <w:t>不得提供虚假材料和虚假参数响应，成交商应在中标后3个工作日内将评审标准相关的证书、参数及功能证明材料等提供给采购人核查，采购人</w:t>
      </w:r>
      <w:r>
        <w:rPr>
          <w:rFonts w:hint="eastAsia" w:ascii="仿宋" w:hAnsi="仿宋" w:eastAsia="仿宋" w:cs="仿宋"/>
          <w:b w:val="0"/>
          <w:bCs/>
          <w:color w:val="auto"/>
          <w:kern w:val="0"/>
          <w:sz w:val="24"/>
          <w:szCs w:val="24"/>
          <w:lang w:val="en-US" w:eastAsia="zh-CN" w:bidi="ar-SA"/>
        </w:rPr>
        <w:t>保</w:t>
      </w:r>
      <w:r>
        <w:rPr>
          <w:rFonts w:hint="eastAsia" w:ascii="仿宋" w:hAnsi="仿宋" w:eastAsia="仿宋" w:cs="仿宋"/>
          <w:b w:val="0"/>
          <w:bCs/>
          <w:color w:val="auto"/>
          <w:kern w:val="0"/>
          <w:sz w:val="24"/>
          <w:szCs w:val="24"/>
          <w:lang w:val="zh-CN" w:eastAsia="zh-CN" w:bidi="ar-SA"/>
        </w:rPr>
        <w:t>留功能测试权利，如查有虚假，则依法上报政府采购监督管理部门，成交商须</w:t>
      </w:r>
      <w:r>
        <w:rPr>
          <w:rFonts w:hint="eastAsia" w:ascii="仿宋" w:hAnsi="仿宋" w:eastAsia="仿宋" w:cs="仿宋"/>
          <w:b w:val="0"/>
          <w:bCs/>
          <w:color w:val="auto"/>
          <w:kern w:val="0"/>
          <w:sz w:val="24"/>
          <w:szCs w:val="24"/>
          <w:lang w:val="en-US" w:eastAsia="zh-CN" w:bidi="ar-SA"/>
        </w:rPr>
        <w:t>接</w:t>
      </w:r>
      <w:r>
        <w:rPr>
          <w:rFonts w:hint="eastAsia" w:ascii="仿宋" w:hAnsi="仿宋" w:eastAsia="仿宋" w:cs="仿宋"/>
          <w:b w:val="0"/>
          <w:bCs/>
          <w:color w:val="auto"/>
          <w:kern w:val="0"/>
          <w:sz w:val="24"/>
          <w:szCs w:val="24"/>
          <w:lang w:val="zh-CN" w:eastAsia="zh-CN" w:bidi="ar-SA"/>
        </w:rPr>
        <w:t>受相应处罚并承担相应的法律责任;若未在采购人通知的时间内提供相关资料则视为成交商自动放弃中标资格，由此导致的所有损失由成交商自行承担。</w:t>
      </w:r>
      <w:r>
        <w:rPr>
          <w:rFonts w:hint="eastAsia" w:ascii="仿宋" w:hAnsi="仿宋" w:eastAsia="仿宋" w:cs="仿宋"/>
          <w:b w:val="0"/>
          <w:bCs/>
          <w:color w:val="auto"/>
          <w:kern w:val="0"/>
          <w:sz w:val="24"/>
          <w:szCs w:val="24"/>
          <w:lang w:val="en-US" w:eastAsia="zh-CN" w:bidi="ar-SA"/>
        </w:rPr>
        <w:t>成交商提供的产品应是原厂生产的未经使用正品。符合国家质量检测标准，具有出厂合格证或国家鉴定合格证。</w:t>
      </w:r>
    </w:p>
    <w:p w14:paraId="748CB67C">
      <w:pPr>
        <w:pStyle w:val="4"/>
        <w:pageBreakBefore w:val="0"/>
        <w:kinsoku/>
        <w:wordWrap/>
        <w:overflowPunct/>
        <w:topLinePunct w:val="0"/>
        <w:autoSpaceDE/>
        <w:autoSpaceDN/>
        <w:bidi w:val="0"/>
        <w:spacing w:line="360" w:lineRule="auto"/>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(三)、项目验收要求</w:t>
      </w:r>
    </w:p>
    <w:p w14:paraId="274421F3">
      <w:pPr>
        <w:pageBreakBefore w:val="0"/>
        <w:widowControl/>
        <w:shd w:val="clear" w:color="auto" w:fill="FFFFFF"/>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验收标准按现行国家标准执行。项目验收另有国家有强制性规定的，按国家规定执行，验收费用由供应商承担，验收报告作为申请付款的凭证之一。项目验收不合格，由供应商返工直至合格，有关返工、再行验收，以及给采购人造成的损失等费用由供应商承担。连续两次项目验收不合格的，采购人可终止合同，另行按规定选择其他方式采购，由此带来的一切损失由供应商承担。</w:t>
      </w:r>
    </w:p>
    <w:p w14:paraId="4DBBEE0E">
      <w:pPr>
        <w:pStyle w:val="4"/>
        <w:pageBreakBefore w:val="0"/>
        <w:kinsoku/>
        <w:wordWrap/>
        <w:overflowPunct/>
        <w:topLinePunct w:val="0"/>
        <w:autoSpaceDE/>
        <w:autoSpaceDN/>
        <w:bidi w:val="0"/>
        <w:spacing w:line="360" w:lineRule="auto"/>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四、商务要求</w:t>
      </w:r>
    </w:p>
    <w:p w14:paraId="75148295">
      <w:pPr>
        <w:pageBreakBefore w:val="0"/>
        <w:widowControl/>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en-US" w:eastAsia="zh-CN" w:bidi="ar-SA"/>
        </w:rPr>
        <w:t>1.</w:t>
      </w:r>
      <w:r>
        <w:rPr>
          <w:rFonts w:hint="eastAsia" w:ascii="仿宋" w:hAnsi="仿宋" w:eastAsia="仿宋" w:cs="仿宋"/>
          <w:b w:val="0"/>
          <w:bCs/>
          <w:color w:val="auto"/>
          <w:kern w:val="0"/>
          <w:sz w:val="24"/>
          <w:szCs w:val="24"/>
          <w:lang w:val="zh-CN" w:eastAsia="zh-CN" w:bidi="ar-SA"/>
        </w:rPr>
        <w:t>本项目采用费用包干方式建设，投标供应商应根据项目要求和现场情况，详细列明项目所需的设备（软件）及材料购置，以及产品运输保险保管、项目安装调试、试运行测试通过验收、培训、质保期免费保修维护等所有人工、管理、财务等所有费用，如一旦中标，在项目实施中出现任何遗漏，均由中标人免费提供，采购人不再支付任何费用。</w:t>
      </w:r>
    </w:p>
    <w:p w14:paraId="19007CBF">
      <w:pPr>
        <w:pageBreakBefore w:val="0"/>
        <w:widowControl/>
        <w:kinsoku/>
        <w:wordWrap/>
        <w:overflowPunct/>
        <w:topLinePunct w:val="0"/>
        <w:autoSpaceDE/>
        <w:autoSpaceDN/>
        <w:bidi w:val="0"/>
        <w:spacing w:line="360" w:lineRule="auto"/>
        <w:ind w:firstLine="480" w:firstLineChars="200"/>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en-US" w:eastAsia="zh-CN" w:bidi="ar-SA"/>
        </w:rPr>
        <w:t>2.</w:t>
      </w:r>
      <w:r>
        <w:rPr>
          <w:rFonts w:hint="eastAsia" w:ascii="仿宋" w:hAnsi="仿宋" w:eastAsia="仿宋" w:cs="仿宋"/>
          <w:b w:val="0"/>
          <w:bCs/>
          <w:color w:val="auto"/>
          <w:kern w:val="0"/>
          <w:sz w:val="24"/>
          <w:szCs w:val="24"/>
          <w:lang w:val="zh-CN" w:eastAsia="zh-CN" w:bidi="ar-SA"/>
        </w:rPr>
        <w:t>交货期与付款要求</w:t>
      </w:r>
    </w:p>
    <w:p w14:paraId="423B6158">
      <w:pPr>
        <w:pageBreakBefore w:val="0"/>
        <w:widowControl/>
        <w:kinsoku/>
        <w:wordWrap/>
        <w:overflowPunct/>
        <w:topLinePunct w:val="0"/>
        <w:autoSpaceDE/>
        <w:autoSpaceDN/>
        <w:bidi w:val="0"/>
        <w:spacing w:line="360" w:lineRule="auto"/>
        <w:ind w:firstLine="480"/>
        <w:jc w:val="left"/>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en-US" w:eastAsia="zh-CN" w:bidi="ar-SA"/>
        </w:rPr>
        <w:t>2.</w:t>
      </w:r>
      <w:r>
        <w:rPr>
          <w:rFonts w:hint="eastAsia" w:ascii="仿宋" w:hAnsi="仿宋" w:eastAsia="仿宋" w:cs="仿宋"/>
          <w:b w:val="0"/>
          <w:bCs/>
          <w:color w:val="auto"/>
          <w:kern w:val="0"/>
          <w:sz w:val="24"/>
          <w:szCs w:val="24"/>
          <w:lang w:val="zh-CN" w:eastAsia="zh-CN" w:bidi="ar-SA"/>
        </w:rPr>
        <w:t>1.交货方式：</w:t>
      </w:r>
    </w:p>
    <w:p w14:paraId="6D19FC14">
      <w:pPr>
        <w:pageBreakBefore w:val="0"/>
        <w:widowControl/>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en-US" w:eastAsia="zh-CN" w:bidi="ar-SA"/>
        </w:rPr>
        <w:t>2</w:t>
      </w:r>
      <w:r>
        <w:rPr>
          <w:rFonts w:hint="eastAsia" w:ascii="仿宋" w:hAnsi="仿宋" w:eastAsia="仿宋" w:cs="仿宋"/>
          <w:b w:val="0"/>
          <w:bCs/>
          <w:color w:val="auto"/>
          <w:kern w:val="0"/>
          <w:sz w:val="24"/>
          <w:szCs w:val="24"/>
          <w:lang w:val="zh-CN" w:eastAsia="zh-CN" w:bidi="ar-SA"/>
        </w:rPr>
        <w:t>.1</w:t>
      </w:r>
      <w:r>
        <w:rPr>
          <w:rFonts w:hint="eastAsia" w:ascii="仿宋" w:hAnsi="仿宋" w:eastAsia="仿宋" w:cs="仿宋"/>
          <w:b w:val="0"/>
          <w:bCs/>
          <w:color w:val="auto"/>
          <w:kern w:val="0"/>
          <w:sz w:val="24"/>
          <w:szCs w:val="24"/>
          <w:lang w:val="en-US" w:eastAsia="zh-CN" w:bidi="ar-SA"/>
        </w:rPr>
        <w:t>.1</w:t>
      </w:r>
      <w:r>
        <w:rPr>
          <w:rFonts w:hint="eastAsia" w:ascii="仿宋" w:hAnsi="仿宋" w:eastAsia="仿宋" w:cs="仿宋"/>
          <w:b w:val="0"/>
          <w:bCs/>
          <w:color w:val="auto"/>
          <w:kern w:val="0"/>
          <w:sz w:val="24"/>
          <w:szCs w:val="24"/>
          <w:lang w:val="zh-CN" w:eastAsia="zh-CN" w:bidi="ar-SA"/>
        </w:rPr>
        <w:t>产品正常使用时所需的附件、工具等；</w:t>
      </w:r>
    </w:p>
    <w:p w14:paraId="0728EB44">
      <w:pPr>
        <w:pageBreakBefore w:val="0"/>
        <w:widowControl/>
        <w:kinsoku/>
        <w:wordWrap/>
        <w:overflowPunct/>
        <w:topLinePunct w:val="0"/>
        <w:autoSpaceDE/>
        <w:autoSpaceDN/>
        <w:bidi w:val="0"/>
        <w:spacing w:line="360" w:lineRule="auto"/>
        <w:jc w:val="left"/>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zh-CN" w:eastAsia="zh-CN" w:bidi="ar-SA"/>
        </w:rPr>
        <w:t xml:space="preserve">    </w:t>
      </w:r>
      <w:r>
        <w:rPr>
          <w:rFonts w:hint="eastAsia" w:ascii="仿宋" w:hAnsi="仿宋" w:eastAsia="仿宋" w:cs="仿宋"/>
          <w:b w:val="0"/>
          <w:bCs/>
          <w:color w:val="auto"/>
          <w:kern w:val="0"/>
          <w:sz w:val="24"/>
          <w:szCs w:val="24"/>
          <w:lang w:val="en-US" w:eastAsia="zh-CN" w:bidi="ar-SA"/>
        </w:rPr>
        <w:t>2.</w:t>
      </w:r>
      <w:r>
        <w:rPr>
          <w:rFonts w:hint="eastAsia" w:ascii="仿宋" w:hAnsi="仿宋" w:eastAsia="仿宋" w:cs="仿宋"/>
          <w:b w:val="0"/>
          <w:bCs/>
          <w:color w:val="auto"/>
          <w:kern w:val="0"/>
          <w:sz w:val="24"/>
          <w:szCs w:val="24"/>
          <w:lang w:val="zh-CN" w:eastAsia="zh-CN" w:bidi="ar-SA"/>
        </w:rPr>
        <w:t>1.2中标人负责产品的全部运输，包括装卸及现场搬运等；</w:t>
      </w:r>
    </w:p>
    <w:p w14:paraId="48318A39">
      <w:pPr>
        <w:pageBreakBefore w:val="0"/>
        <w:widowControl/>
        <w:kinsoku/>
        <w:wordWrap/>
        <w:overflowPunct/>
        <w:topLinePunct w:val="0"/>
        <w:autoSpaceDE/>
        <w:autoSpaceDN/>
        <w:bidi w:val="0"/>
        <w:spacing w:line="360" w:lineRule="auto"/>
        <w:jc w:val="left"/>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zh-CN" w:eastAsia="zh-CN" w:bidi="ar-SA"/>
        </w:rPr>
        <w:t xml:space="preserve">    </w:t>
      </w:r>
      <w:r>
        <w:rPr>
          <w:rFonts w:hint="eastAsia" w:ascii="仿宋" w:hAnsi="仿宋" w:eastAsia="仿宋" w:cs="仿宋"/>
          <w:b w:val="0"/>
          <w:bCs/>
          <w:color w:val="auto"/>
          <w:kern w:val="0"/>
          <w:sz w:val="24"/>
          <w:szCs w:val="24"/>
          <w:lang w:val="en-US" w:eastAsia="zh-CN" w:bidi="ar-SA"/>
        </w:rPr>
        <w:t>2.</w:t>
      </w:r>
      <w:r>
        <w:rPr>
          <w:rFonts w:hint="eastAsia" w:ascii="仿宋" w:hAnsi="仿宋" w:eastAsia="仿宋" w:cs="仿宋"/>
          <w:b w:val="0"/>
          <w:bCs/>
          <w:color w:val="auto"/>
          <w:kern w:val="0"/>
          <w:sz w:val="24"/>
          <w:szCs w:val="24"/>
          <w:lang w:val="zh-CN" w:eastAsia="zh-CN" w:bidi="ar-SA"/>
        </w:rPr>
        <w:t>1.3中标人负责产品的保管，直至项目安装验收合格；</w:t>
      </w:r>
    </w:p>
    <w:p w14:paraId="5F1D6634">
      <w:pPr>
        <w:pageBreakBefore w:val="0"/>
        <w:widowControl/>
        <w:kinsoku/>
        <w:wordWrap/>
        <w:overflowPunct/>
        <w:topLinePunct w:val="0"/>
        <w:autoSpaceDE/>
        <w:autoSpaceDN/>
        <w:bidi w:val="0"/>
        <w:spacing w:line="360" w:lineRule="auto"/>
        <w:jc w:val="left"/>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zh-CN" w:eastAsia="zh-CN" w:bidi="ar-SA"/>
        </w:rPr>
        <w:t xml:space="preserve">    </w:t>
      </w:r>
      <w:r>
        <w:rPr>
          <w:rFonts w:hint="eastAsia" w:ascii="仿宋" w:hAnsi="仿宋" w:eastAsia="仿宋" w:cs="仿宋"/>
          <w:b w:val="0"/>
          <w:bCs/>
          <w:color w:val="auto"/>
          <w:kern w:val="0"/>
          <w:sz w:val="24"/>
          <w:szCs w:val="24"/>
          <w:lang w:val="en-US" w:eastAsia="zh-CN" w:bidi="ar-SA"/>
        </w:rPr>
        <w:t>2.</w:t>
      </w:r>
      <w:r>
        <w:rPr>
          <w:rFonts w:hint="eastAsia" w:ascii="仿宋" w:hAnsi="仿宋" w:eastAsia="仿宋" w:cs="仿宋"/>
          <w:b w:val="0"/>
          <w:bCs/>
          <w:color w:val="auto"/>
          <w:kern w:val="0"/>
          <w:sz w:val="24"/>
          <w:szCs w:val="24"/>
          <w:lang w:val="zh-CN" w:eastAsia="zh-CN" w:bidi="ar-SA"/>
        </w:rPr>
        <w:t>1.4中标人负责其派出的人身意外保险。</w:t>
      </w:r>
    </w:p>
    <w:p w14:paraId="111D6064">
      <w:pPr>
        <w:pageBreakBefore w:val="0"/>
        <w:widowControl/>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2.1.5供应商在安装、部署和调试过程中需严格按照相应的工作规范和流程，做好安装、部署和调试记录。</w:t>
      </w:r>
    </w:p>
    <w:p w14:paraId="1BAAABDE">
      <w:pPr>
        <w:pageBreakBefore w:val="0"/>
        <w:widowControl/>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2.1.6设备部分要求供应商按采购人要求，将所供货物送达指定地点，自行处理供货、发货过程中的运输、安全等相关事项。供应商完成供货后必须进行合格验收，供应商承担验收合格前的一切风险、责任和费用。安装现场必须遵守和执行相关安全管理规定和有关作业规程。</w:t>
      </w:r>
    </w:p>
    <w:p w14:paraId="1F84E643">
      <w:pPr>
        <w:pageBreakBefore w:val="0"/>
        <w:widowControl/>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2.1.7本项目涉及功能交付并通过验收后，在售后服务提供期间，供应商应提供技术援助电话，用于用户报告故障，解答用户在系统使用中遇到的问题，及时提出解决问题的建议和操作方法。如前述远程服务无法解决，供应商应免费上门服务，紧急情况24小时，普通情况48小时内到达现场。</w:t>
      </w:r>
    </w:p>
    <w:p w14:paraId="530BD379">
      <w:pPr>
        <w:pStyle w:val="2"/>
        <w:pageBreakBefore w:val="0"/>
        <w:kinsoku/>
        <w:wordWrap/>
        <w:overflowPunct/>
        <w:topLinePunct w:val="0"/>
        <w:autoSpaceDE/>
        <w:autoSpaceDN/>
        <w:bidi w:val="0"/>
        <w:spacing w:line="360" w:lineRule="auto"/>
        <w:ind w:left="0" w:leftChars="0" w:firstLine="480" w:firstLineChars="200"/>
        <w:rPr>
          <w:rFonts w:hint="default"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2.1.8质保期后，供应商应提供技术支撑服务，根据采购人实际工作需求进行支撑，提升系统应用效率。</w:t>
      </w:r>
    </w:p>
    <w:p w14:paraId="75FE42C7">
      <w:pPr>
        <w:pageBreakBefore w:val="0"/>
        <w:widowControl/>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en-US" w:eastAsia="zh-CN" w:bidi="ar-SA"/>
        </w:rPr>
        <w:t>3.交付</w:t>
      </w:r>
      <w:r>
        <w:rPr>
          <w:rFonts w:hint="eastAsia" w:ascii="仿宋" w:hAnsi="仿宋" w:eastAsia="仿宋" w:cs="仿宋"/>
          <w:b w:val="0"/>
          <w:bCs/>
          <w:color w:val="auto"/>
          <w:kern w:val="0"/>
          <w:sz w:val="24"/>
          <w:szCs w:val="24"/>
          <w:lang w:val="zh-CN" w:eastAsia="zh-CN" w:bidi="ar-SA"/>
        </w:rPr>
        <w:t>时间：合同签订后</w:t>
      </w:r>
      <w:r>
        <w:rPr>
          <w:rFonts w:hint="eastAsia" w:ascii="仿宋" w:hAnsi="仿宋" w:eastAsia="仿宋" w:cs="仿宋"/>
          <w:b w:val="0"/>
          <w:bCs/>
          <w:color w:val="auto"/>
          <w:kern w:val="0"/>
          <w:sz w:val="24"/>
          <w:szCs w:val="24"/>
          <w:lang w:val="en-US" w:eastAsia="zh-CN" w:bidi="ar-SA"/>
        </w:rPr>
        <w:t>30</w:t>
      </w:r>
      <w:r>
        <w:rPr>
          <w:rFonts w:hint="eastAsia" w:ascii="仿宋" w:hAnsi="仿宋" w:eastAsia="仿宋" w:cs="仿宋"/>
          <w:b w:val="0"/>
          <w:bCs/>
          <w:color w:val="auto"/>
          <w:kern w:val="0"/>
          <w:sz w:val="24"/>
          <w:szCs w:val="24"/>
          <w:lang w:val="zh-CN" w:eastAsia="zh-CN" w:bidi="ar-SA"/>
        </w:rPr>
        <w:t xml:space="preserve">天内完成交付并验收合格。 </w:t>
      </w:r>
    </w:p>
    <w:p w14:paraId="7568BCE1">
      <w:pPr>
        <w:pageBreakBefore w:val="0"/>
        <w:widowControl/>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4.</w:t>
      </w:r>
      <w:r>
        <w:rPr>
          <w:rFonts w:hint="eastAsia" w:ascii="仿宋" w:hAnsi="仿宋" w:eastAsia="仿宋" w:cs="仿宋"/>
          <w:b w:val="0"/>
          <w:bCs/>
          <w:color w:val="auto"/>
          <w:kern w:val="0"/>
          <w:sz w:val="24"/>
          <w:szCs w:val="24"/>
          <w:lang w:val="zh-CN" w:eastAsia="zh-CN" w:bidi="ar-SA"/>
        </w:rPr>
        <w:t>付款方式：</w:t>
      </w:r>
      <w:r>
        <w:rPr>
          <w:rFonts w:hint="eastAsia" w:ascii="仿宋" w:hAnsi="仿宋" w:eastAsia="仿宋" w:cs="仿宋"/>
          <w:b w:val="0"/>
          <w:bCs/>
          <w:color w:val="auto"/>
          <w:kern w:val="0"/>
          <w:sz w:val="24"/>
          <w:szCs w:val="24"/>
          <w:lang w:val="en-US" w:eastAsia="zh-CN" w:bidi="ar-SA"/>
        </w:rPr>
        <w:t>自采购方总体验收合格之日起4个月内，支付总费用的90%，采购方总体验收合格满 1 年后的 30 个工作日内一次性付清余款。</w:t>
      </w:r>
    </w:p>
    <w:p w14:paraId="62E46D09">
      <w:pPr>
        <w:pageBreakBefore w:val="0"/>
        <w:widowControl/>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5.供应商须在投标文件中承诺中标后自中标通知书发出之日起30日内，按中标通知书指定的时间、地点与采购人签订政府采购合同，否则投标无效。</w:t>
      </w:r>
    </w:p>
    <w:p w14:paraId="524556D3">
      <w:pPr>
        <w:pageBreakBefore w:val="0"/>
        <w:widowControl/>
        <w:kinsoku/>
        <w:wordWrap/>
        <w:overflowPunct/>
        <w:topLinePunct w:val="0"/>
        <w:autoSpaceDE/>
        <w:autoSpaceDN/>
        <w:bidi w:val="0"/>
        <w:spacing w:line="360" w:lineRule="auto"/>
        <w:ind w:firstLine="480" w:firstLineChars="200"/>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en-US" w:eastAsia="zh-CN" w:bidi="ar-SA"/>
        </w:rPr>
        <w:t>6.</w:t>
      </w:r>
      <w:r>
        <w:rPr>
          <w:rFonts w:hint="eastAsia" w:ascii="仿宋" w:hAnsi="仿宋" w:eastAsia="仿宋" w:cs="仿宋"/>
          <w:b w:val="0"/>
          <w:bCs/>
          <w:color w:val="auto"/>
          <w:kern w:val="0"/>
          <w:sz w:val="24"/>
          <w:szCs w:val="24"/>
          <w:lang w:val="zh-CN" w:eastAsia="zh-CN" w:bidi="ar-SA"/>
        </w:rPr>
        <w:t>附件及零配件（包括专用工具）、备品备件的要求</w:t>
      </w:r>
    </w:p>
    <w:p w14:paraId="3CFE8652">
      <w:pPr>
        <w:pageBreakBefore w:val="0"/>
        <w:kinsoku/>
        <w:wordWrap/>
        <w:overflowPunct/>
        <w:topLinePunct w:val="0"/>
        <w:autoSpaceDE/>
        <w:autoSpaceDN/>
        <w:bidi w:val="0"/>
        <w:spacing w:line="360" w:lineRule="auto"/>
        <w:ind w:firstLine="480" w:firstLineChars="200"/>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zh-CN" w:eastAsia="zh-CN" w:bidi="ar-SA"/>
        </w:rPr>
        <w:t>在设备的设计使用寿命周期内，中标人应能保证使用方更换到原厂正宗的零部件，确保设备的正常使用。在使用过程若需要调换配件，在保修期内凡非使用者人为引起的，一切费用由中标人承担。如人为造成或保修期外需维修的中标人可收取维修材料费。</w:t>
      </w:r>
    </w:p>
    <w:p w14:paraId="67069C7C">
      <w:pPr>
        <w:pageBreakBefore w:val="0"/>
        <w:widowControl/>
        <w:kinsoku/>
        <w:wordWrap/>
        <w:overflowPunct/>
        <w:topLinePunct w:val="0"/>
        <w:autoSpaceDE/>
        <w:autoSpaceDN/>
        <w:bidi w:val="0"/>
        <w:spacing w:line="360" w:lineRule="auto"/>
        <w:ind w:firstLine="480" w:firstLineChars="200"/>
        <w:rPr>
          <w:rFonts w:hint="eastAsia" w:ascii="仿宋" w:hAnsi="仿宋" w:eastAsia="仿宋" w:cs="仿宋"/>
          <w:b w:val="0"/>
          <w:bCs/>
          <w:color w:val="auto"/>
          <w:kern w:val="0"/>
          <w:sz w:val="24"/>
          <w:szCs w:val="24"/>
          <w:lang w:val="zh-CN" w:eastAsia="zh-CN" w:bidi="ar-SA"/>
        </w:rPr>
      </w:pPr>
      <w:r>
        <w:rPr>
          <w:rFonts w:hint="eastAsia" w:ascii="仿宋" w:hAnsi="仿宋" w:eastAsia="仿宋" w:cs="仿宋"/>
          <w:b w:val="0"/>
          <w:bCs/>
          <w:color w:val="auto"/>
          <w:kern w:val="0"/>
          <w:sz w:val="24"/>
          <w:szCs w:val="24"/>
          <w:lang w:val="en-US" w:eastAsia="zh-CN" w:bidi="ar-SA"/>
        </w:rPr>
        <w:t>7.</w:t>
      </w:r>
      <w:r>
        <w:rPr>
          <w:rFonts w:hint="eastAsia" w:ascii="仿宋" w:hAnsi="仿宋" w:eastAsia="仿宋" w:cs="仿宋"/>
          <w:b w:val="0"/>
          <w:bCs/>
          <w:color w:val="auto"/>
          <w:kern w:val="0"/>
          <w:sz w:val="24"/>
          <w:szCs w:val="24"/>
          <w:lang w:val="zh-CN" w:eastAsia="zh-CN" w:bidi="ar-SA"/>
        </w:rPr>
        <w:t>售后服务要求</w:t>
      </w:r>
    </w:p>
    <w:p w14:paraId="69530F9E">
      <w:pPr>
        <w:pageBreakBefore w:val="0"/>
        <w:kinsoku/>
        <w:wordWrap/>
        <w:overflowPunct/>
        <w:topLinePunct w:val="0"/>
        <w:autoSpaceDE/>
        <w:autoSpaceDN/>
        <w:bidi w:val="0"/>
        <w:spacing w:line="360" w:lineRule="auto"/>
        <w:ind w:firstLine="240" w:firstLineChars="100"/>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7.1.技术支持</w:t>
      </w:r>
    </w:p>
    <w:p w14:paraId="69C32BAA">
      <w:pPr>
        <w:pageBreakBefore w:val="0"/>
        <w:kinsoku/>
        <w:wordWrap/>
        <w:overflowPunct/>
        <w:topLinePunct w:val="0"/>
        <w:autoSpaceDE/>
        <w:autoSpaceDN/>
        <w:bidi w:val="0"/>
        <w:spacing w:line="360" w:lineRule="auto"/>
        <w:ind w:firstLine="480"/>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7.1.1提供7×24小时的技术咨询服务。</w:t>
      </w:r>
    </w:p>
    <w:p w14:paraId="5282120F">
      <w:pPr>
        <w:pageBreakBefore w:val="0"/>
        <w:kinsoku/>
        <w:wordWrap/>
        <w:overflowPunct/>
        <w:topLinePunct w:val="0"/>
        <w:autoSpaceDE/>
        <w:autoSpaceDN/>
        <w:bidi w:val="0"/>
        <w:spacing w:line="360" w:lineRule="auto"/>
        <w:ind w:firstLine="480"/>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7.1.2敏感时期、重大节假日提供技术人员值守服务。</w:t>
      </w:r>
    </w:p>
    <w:p w14:paraId="22B13193">
      <w:pPr>
        <w:pageBreakBefore w:val="0"/>
        <w:kinsoku/>
        <w:wordWrap/>
        <w:overflowPunct/>
        <w:topLinePunct w:val="0"/>
        <w:autoSpaceDE/>
        <w:autoSpaceDN/>
        <w:bidi w:val="0"/>
        <w:spacing w:line="360" w:lineRule="auto"/>
        <w:ind w:firstLine="480"/>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7.1.3免费提供对用户的技术培训和相关的技术资料。</w:t>
      </w:r>
    </w:p>
    <w:p w14:paraId="41AFFDE1">
      <w:pPr>
        <w:pageBreakBefore w:val="0"/>
        <w:kinsoku/>
        <w:wordWrap/>
        <w:overflowPunct/>
        <w:topLinePunct w:val="0"/>
        <w:autoSpaceDE/>
        <w:autoSpaceDN/>
        <w:bidi w:val="0"/>
        <w:spacing w:line="360" w:lineRule="auto"/>
        <w:ind w:firstLine="240" w:firstLineChars="100"/>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7.2.故障响应</w:t>
      </w:r>
    </w:p>
    <w:p w14:paraId="5740A813">
      <w:pPr>
        <w:spacing w:line="360" w:lineRule="auto"/>
        <w:ind w:firstLine="420" w:firstLineChars="175"/>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7.2.1如系统发生故障，供应商自接到采购方故障通知后30分钟内响应，并通过前述远程服务进行维护；特殊故障与采购方沟通协商后，按照协商的方式制定解决方案并进行处理。如前述远程服务无法解决，供应商应免费上门服务，紧急情况24小时，普通情况48小时内到达现场。</w:t>
      </w:r>
    </w:p>
    <w:p w14:paraId="43DC798E">
      <w:pPr>
        <w:pageBreakBefore w:val="0"/>
        <w:kinsoku/>
        <w:wordWrap/>
        <w:overflowPunct/>
        <w:topLinePunct w:val="0"/>
        <w:autoSpaceDE/>
        <w:autoSpaceDN/>
        <w:bidi w:val="0"/>
        <w:spacing w:line="360" w:lineRule="auto"/>
        <w:ind w:firstLine="480"/>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7.2.2备件服务：遇到重大故障，提供所需更换的任何备件。</w:t>
      </w:r>
    </w:p>
    <w:p w14:paraId="564E9E2C">
      <w:pPr>
        <w:pageBreakBefore w:val="0"/>
        <w:widowControl/>
        <w:kinsoku/>
        <w:wordWrap/>
        <w:overflowPunct/>
        <w:topLinePunct w:val="0"/>
        <w:autoSpaceDE/>
        <w:autoSpaceDN/>
        <w:bidi w:val="0"/>
        <w:spacing w:line="360" w:lineRule="auto"/>
        <w:ind w:firstLine="240" w:firstLineChars="1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3.质保期内出现任何质量问题（人为破坏或自然灾害等不可抗力除外），由成交供应商负责全免费（免全部工时费、材料费、管理费、财务费等等）更换或维修。质保期满后，无论采购人是否另行选择维保供应商，成交供应商应及时优惠提供所需的备品备件。</w:t>
      </w:r>
    </w:p>
    <w:p w14:paraId="54789A31">
      <w:pPr>
        <w:pageBreakBefore w:val="0"/>
        <w:widowControl/>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(四)</w:t>
      </w:r>
      <w:r>
        <w:rPr>
          <w:rFonts w:hint="eastAsia" w:ascii="仿宋" w:hAnsi="仿宋" w:eastAsia="仿宋" w:cs="仿宋"/>
          <w:b w:val="0"/>
          <w:bCs/>
          <w:color w:val="auto"/>
          <w:kern w:val="0"/>
          <w:sz w:val="24"/>
          <w:szCs w:val="24"/>
          <w:lang w:val="zh-CN" w:eastAsia="zh-CN" w:bidi="ar-SA"/>
        </w:rPr>
        <w:t>、</w:t>
      </w:r>
      <w:r>
        <w:rPr>
          <w:rFonts w:hint="eastAsia" w:ascii="仿宋" w:hAnsi="仿宋" w:eastAsia="仿宋" w:cs="仿宋"/>
          <w:b w:val="0"/>
          <w:bCs/>
          <w:color w:val="auto"/>
          <w:kern w:val="0"/>
          <w:sz w:val="24"/>
          <w:szCs w:val="24"/>
          <w:lang w:val="en-US" w:eastAsia="zh-CN" w:bidi="ar-SA"/>
        </w:rPr>
        <w:t>其他</w:t>
      </w:r>
    </w:p>
    <w:p w14:paraId="58351C66">
      <w:pPr>
        <w:pageBreakBefore w:val="0"/>
        <w:kinsoku/>
        <w:wordWrap/>
        <w:overflowPunct/>
        <w:topLinePunct w:val="0"/>
        <w:autoSpaceDE/>
        <w:autoSpaceDN/>
        <w:bidi w:val="0"/>
        <w:spacing w:line="360" w:lineRule="auto"/>
        <w:ind w:firstLine="480" w:firstLineChars="200"/>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1.为确保产品质量及服务质量，供应商需具备对本项目的商务履约能力。</w:t>
      </w:r>
    </w:p>
    <w:p w14:paraId="36458E1F">
      <w:pPr>
        <w:pageBreakBefore w:val="0"/>
        <w:kinsoku/>
        <w:wordWrap/>
        <w:overflowPunct/>
        <w:topLinePunct w:val="0"/>
        <w:autoSpaceDE/>
        <w:autoSpaceDN/>
        <w:bidi w:val="0"/>
        <w:spacing w:line="360" w:lineRule="auto"/>
        <w:ind w:firstLine="480" w:firstLineChars="200"/>
        <w:jc w:val="left"/>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2</w:t>
      </w:r>
      <w:r>
        <w:rPr>
          <w:rFonts w:hint="eastAsia" w:ascii="仿宋" w:hAnsi="仿宋" w:eastAsia="仿宋" w:cs="仿宋"/>
          <w:b w:val="0"/>
          <w:bCs/>
          <w:color w:val="auto"/>
          <w:kern w:val="0"/>
          <w:sz w:val="24"/>
          <w:szCs w:val="24"/>
          <w:lang w:val="zh-CN" w:eastAsia="zh-CN" w:bidi="ar-SA"/>
        </w:rPr>
        <w:t>.现场踏勘：采购人不另行组织对本项目实施现场进行踏勘。现场勘查费用由投标供应商自行承担。</w:t>
      </w:r>
    </w:p>
    <w:p w14:paraId="60448339">
      <w:pPr>
        <w:pStyle w:val="16"/>
        <w:pageBreakBefore w:val="0"/>
        <w:kinsoku/>
        <w:wordWrap/>
        <w:overflowPunct/>
        <w:topLinePunct w:val="0"/>
        <w:autoSpaceDE/>
        <w:autoSpaceDN/>
        <w:bidi w:val="0"/>
        <w:spacing w:line="360" w:lineRule="auto"/>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3.争议的解决：本合同在履行过程中发生争议，双方应及时协商解决，协商不成时按合同约定执行。</w:t>
      </w:r>
    </w:p>
    <w:p w14:paraId="41E67104">
      <w:pPr>
        <w:pStyle w:val="16"/>
        <w:pageBreakBefore w:val="0"/>
        <w:kinsoku/>
        <w:wordWrap/>
        <w:overflowPunct/>
        <w:topLinePunct w:val="0"/>
        <w:autoSpaceDE/>
        <w:autoSpaceDN/>
        <w:bidi w:val="0"/>
        <w:spacing w:line="360" w:lineRule="auto"/>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4.未尽事宜以采购合同协议书为准并按国家相关法律及行业标准执行。</w:t>
      </w:r>
    </w:p>
    <w:p w14:paraId="160B997E">
      <w:pPr>
        <w:pStyle w:val="16"/>
        <w:pageBreakBefore w:val="0"/>
        <w:kinsoku/>
        <w:wordWrap/>
        <w:overflowPunct/>
        <w:topLinePunct w:val="0"/>
        <w:autoSpaceDE/>
        <w:autoSpaceDN/>
        <w:bidi w:val="0"/>
        <w:spacing w:line="360" w:lineRule="auto"/>
        <w:ind w:firstLine="422"/>
        <w:rPr>
          <w:rFonts w:hint="eastAsia"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zh-CN" w:eastAsia="zh-CN" w:bidi="ar-SA"/>
        </w:rPr>
        <w:t>（对于上述项目要求，供应商应在响应文件中进行回应，作出承诺及说明。）</w:t>
      </w:r>
    </w:p>
    <w:p w14:paraId="01EAEF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300826F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bookmarkStart w:id="1" w:name="_Toc16523574"/>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62C9D60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22AE188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62965EB0">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3F24E4B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rPr>
        <w:t>杨吉军</w:t>
      </w:r>
    </w:p>
    <w:p w14:paraId="038605D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402FBBE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5E33F5C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49A1AB18">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2F919850">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356FC1B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21EB664B">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1E8E5B4">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yellow"/>
          <w:u w:val="single"/>
          <w:lang w:val="en-US" w:eastAsia="zh-CN"/>
          <w14:textFill>
            <w14:solidFill>
              <w14:schemeClr w14:val="tx1"/>
            </w14:solidFill>
          </w14:textFill>
        </w:rPr>
        <w:t>医院公开挂网</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云影像系统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云影像系统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2055D0E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3A3C12C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1.1采购项目名称、品牌、版本/型号、数量及金额</w:t>
      </w:r>
    </w:p>
    <w:tbl>
      <w:tblPr>
        <w:tblStyle w:val="10"/>
        <w:tblpPr w:leftFromText="180" w:rightFromText="180" w:vertAnchor="text" w:horzAnchor="page" w:tblpX="1660" w:tblpY="162"/>
        <w:tblOverlap w:val="never"/>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1340"/>
        <w:gridCol w:w="1427"/>
        <w:gridCol w:w="1333"/>
        <w:gridCol w:w="767"/>
        <w:gridCol w:w="1350"/>
      </w:tblGrid>
      <w:tr w14:paraId="0CF01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6EF4EB5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名称</w:t>
            </w:r>
          </w:p>
        </w:tc>
        <w:tc>
          <w:tcPr>
            <w:tcW w:w="1340" w:type="dxa"/>
            <w:tcBorders>
              <w:top w:val="single" w:color="auto" w:sz="4" w:space="0"/>
              <w:left w:val="single" w:color="auto" w:sz="4" w:space="0"/>
              <w:bottom w:val="single" w:color="auto" w:sz="4" w:space="0"/>
              <w:right w:val="single" w:color="auto" w:sz="4" w:space="0"/>
            </w:tcBorders>
            <w:noWrap w:val="0"/>
            <w:vAlign w:val="center"/>
          </w:tcPr>
          <w:p w14:paraId="1209844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品牌</w:t>
            </w:r>
          </w:p>
        </w:tc>
        <w:tc>
          <w:tcPr>
            <w:tcW w:w="1427" w:type="dxa"/>
            <w:tcBorders>
              <w:top w:val="single" w:color="auto" w:sz="4" w:space="0"/>
              <w:left w:val="single" w:color="auto" w:sz="4" w:space="0"/>
              <w:bottom w:val="single" w:color="auto" w:sz="4" w:space="0"/>
              <w:right w:val="single" w:color="auto" w:sz="4" w:space="0"/>
            </w:tcBorders>
            <w:noWrap w:val="0"/>
            <w:vAlign w:val="center"/>
          </w:tcPr>
          <w:p w14:paraId="04FE9EC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版本/</w:t>
            </w:r>
            <w:r>
              <w:rPr>
                <w:rFonts w:hint="eastAsia" w:ascii="宋体" w:hAnsi="宋体" w:eastAsia="宋体" w:cs="宋体"/>
                <w:b/>
                <w:bCs/>
                <w:color w:val="auto"/>
                <w:kern w:val="0"/>
                <w:sz w:val="24"/>
                <w:szCs w:val="24"/>
                <w:highlight w:val="none"/>
              </w:rPr>
              <w:t>型号</w:t>
            </w:r>
          </w:p>
        </w:tc>
        <w:tc>
          <w:tcPr>
            <w:tcW w:w="1333" w:type="dxa"/>
            <w:tcBorders>
              <w:top w:val="single" w:color="auto" w:sz="4" w:space="0"/>
              <w:left w:val="single" w:color="auto" w:sz="4" w:space="0"/>
              <w:bottom w:val="single" w:color="auto" w:sz="4" w:space="0"/>
              <w:right w:val="single" w:color="auto" w:sz="4" w:space="0"/>
            </w:tcBorders>
            <w:noWrap w:val="0"/>
            <w:vAlign w:val="center"/>
          </w:tcPr>
          <w:p w14:paraId="2CB0FECA">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单价（元）</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767A09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38B76333">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金额（元）</w:t>
            </w:r>
          </w:p>
        </w:tc>
      </w:tr>
      <w:tr w14:paraId="3813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213942C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sz w:val="24"/>
                <w:szCs w:val="24"/>
                <w:highlight w:val="none"/>
                <w:u w:val="none"/>
                <w:lang w:val="en-US" w:eastAsia="zh-CN"/>
              </w:rPr>
              <w:t>云影像</w:t>
            </w:r>
            <w:r>
              <w:rPr>
                <w:rFonts w:hint="eastAsia" w:ascii="宋体" w:hAnsi="宋体" w:eastAsia="宋体" w:cs="宋体"/>
                <w:bCs/>
                <w:color w:val="auto"/>
                <w:sz w:val="24"/>
                <w:szCs w:val="24"/>
                <w:highlight w:val="none"/>
                <w:u w:val="none"/>
              </w:rPr>
              <w:t>系统</w:t>
            </w:r>
            <w:r>
              <w:rPr>
                <w:rFonts w:hint="eastAsia" w:ascii="宋体" w:hAnsi="宋体" w:eastAsia="宋体" w:cs="宋体"/>
                <w:bCs/>
                <w:color w:val="auto"/>
                <w:sz w:val="24"/>
                <w:szCs w:val="24"/>
                <w:highlight w:val="none"/>
                <w:u w:val="none"/>
                <w:lang w:val="en-US" w:eastAsia="zh-CN"/>
              </w:rPr>
              <w:t>软件</w:t>
            </w:r>
          </w:p>
        </w:tc>
        <w:tc>
          <w:tcPr>
            <w:tcW w:w="1340" w:type="dxa"/>
            <w:tcBorders>
              <w:top w:val="single" w:color="auto" w:sz="4" w:space="0"/>
              <w:left w:val="single" w:color="auto" w:sz="4" w:space="0"/>
              <w:bottom w:val="single" w:color="auto" w:sz="4" w:space="0"/>
              <w:right w:val="single" w:color="auto" w:sz="4" w:space="0"/>
            </w:tcBorders>
            <w:noWrap w:val="0"/>
            <w:vAlign w:val="center"/>
          </w:tcPr>
          <w:p w14:paraId="78C45C9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c>
          <w:tcPr>
            <w:tcW w:w="1427" w:type="dxa"/>
            <w:tcBorders>
              <w:top w:val="single" w:color="auto" w:sz="4" w:space="0"/>
              <w:left w:val="single" w:color="auto" w:sz="4" w:space="0"/>
              <w:bottom w:val="single" w:color="auto" w:sz="4" w:space="0"/>
              <w:right w:val="single" w:color="auto" w:sz="4" w:space="0"/>
            </w:tcBorders>
            <w:noWrap w:val="0"/>
            <w:vAlign w:val="center"/>
          </w:tcPr>
          <w:p w14:paraId="1B9D9CC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c>
          <w:tcPr>
            <w:tcW w:w="1333" w:type="dxa"/>
            <w:tcBorders>
              <w:top w:val="single" w:color="auto" w:sz="4" w:space="0"/>
              <w:left w:val="single" w:color="auto" w:sz="4" w:space="0"/>
              <w:right w:val="single" w:color="auto" w:sz="4" w:space="0"/>
            </w:tcBorders>
            <w:noWrap w:val="0"/>
            <w:vAlign w:val="center"/>
          </w:tcPr>
          <w:p w14:paraId="1865810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rPr>
            </w:pPr>
          </w:p>
        </w:tc>
        <w:tc>
          <w:tcPr>
            <w:tcW w:w="767" w:type="dxa"/>
            <w:tcBorders>
              <w:top w:val="single" w:color="auto" w:sz="4" w:space="0"/>
              <w:left w:val="single" w:color="auto" w:sz="4" w:space="0"/>
              <w:right w:val="single" w:color="auto" w:sz="4" w:space="0"/>
            </w:tcBorders>
            <w:noWrap w:val="0"/>
            <w:vAlign w:val="center"/>
          </w:tcPr>
          <w:p w14:paraId="1EEF9C5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rPr>
            </w:pPr>
          </w:p>
        </w:tc>
        <w:tc>
          <w:tcPr>
            <w:tcW w:w="1350" w:type="dxa"/>
            <w:tcBorders>
              <w:top w:val="single" w:color="auto" w:sz="4" w:space="0"/>
              <w:left w:val="single" w:color="auto" w:sz="4" w:space="0"/>
              <w:right w:val="single" w:color="auto" w:sz="4" w:space="0"/>
            </w:tcBorders>
            <w:noWrap w:val="0"/>
            <w:vAlign w:val="center"/>
          </w:tcPr>
          <w:p w14:paraId="3FA8F3D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rPr>
            </w:pPr>
          </w:p>
        </w:tc>
      </w:tr>
      <w:tr w14:paraId="7D20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0247964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r>
              <w:rPr>
                <w:rFonts w:hint="eastAsia" w:eastAsia="宋体"/>
                <w:color w:val="auto"/>
                <w:spacing w:val="-8"/>
                <w:sz w:val="24"/>
                <w:szCs w:val="24"/>
                <w:highlight w:val="none"/>
                <w:u w:val="none"/>
                <w:lang w:val="en-US" w:eastAsia="zh-CN"/>
              </w:rPr>
              <w:t>服务器1</w:t>
            </w:r>
          </w:p>
        </w:tc>
        <w:tc>
          <w:tcPr>
            <w:tcW w:w="1340" w:type="dxa"/>
            <w:tcBorders>
              <w:top w:val="single" w:color="auto" w:sz="4" w:space="0"/>
              <w:left w:val="single" w:color="auto" w:sz="4" w:space="0"/>
              <w:right w:val="single" w:color="auto" w:sz="4" w:space="0"/>
            </w:tcBorders>
            <w:noWrap w:val="0"/>
            <w:vAlign w:val="center"/>
          </w:tcPr>
          <w:p w14:paraId="6E2EE517">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sz w:val="24"/>
                <w:szCs w:val="24"/>
                <w:highlight w:val="none"/>
              </w:rPr>
            </w:pPr>
          </w:p>
        </w:tc>
        <w:tc>
          <w:tcPr>
            <w:tcW w:w="1427" w:type="dxa"/>
            <w:tcBorders>
              <w:top w:val="single" w:color="auto" w:sz="4" w:space="0"/>
              <w:left w:val="single" w:color="auto" w:sz="4" w:space="0"/>
              <w:right w:val="single" w:color="auto" w:sz="4" w:space="0"/>
            </w:tcBorders>
            <w:noWrap w:val="0"/>
            <w:vAlign w:val="center"/>
          </w:tcPr>
          <w:p w14:paraId="0517B39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rPr>
            </w:pPr>
          </w:p>
        </w:tc>
        <w:tc>
          <w:tcPr>
            <w:tcW w:w="1333" w:type="dxa"/>
            <w:tcBorders>
              <w:left w:val="single" w:color="auto" w:sz="4" w:space="0"/>
              <w:right w:val="single" w:color="auto" w:sz="4" w:space="0"/>
            </w:tcBorders>
            <w:noWrap w:val="0"/>
            <w:vAlign w:val="center"/>
          </w:tcPr>
          <w:p w14:paraId="2D187BA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c>
          <w:tcPr>
            <w:tcW w:w="767" w:type="dxa"/>
            <w:tcBorders>
              <w:left w:val="single" w:color="auto" w:sz="4" w:space="0"/>
              <w:right w:val="single" w:color="auto" w:sz="4" w:space="0"/>
            </w:tcBorders>
            <w:noWrap w:val="0"/>
            <w:vAlign w:val="center"/>
          </w:tcPr>
          <w:p w14:paraId="3913CAA7">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p>
        </w:tc>
        <w:tc>
          <w:tcPr>
            <w:tcW w:w="1350" w:type="dxa"/>
            <w:tcBorders>
              <w:left w:val="single" w:color="auto" w:sz="4" w:space="0"/>
              <w:right w:val="single" w:color="auto" w:sz="4" w:space="0"/>
            </w:tcBorders>
            <w:noWrap w:val="0"/>
            <w:vAlign w:val="center"/>
          </w:tcPr>
          <w:p w14:paraId="60A150EE">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r>
      <w:tr w14:paraId="27D23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38E31687">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eastAsiaTheme="minorEastAsia"/>
                <w:color w:val="auto"/>
                <w:spacing w:val="-8"/>
                <w:sz w:val="24"/>
                <w:szCs w:val="24"/>
                <w:highlight w:val="none"/>
                <w:u w:val="none"/>
                <w:lang w:val="en-US" w:eastAsia="zh-CN"/>
              </w:rPr>
            </w:pPr>
            <w:r>
              <w:rPr>
                <w:rFonts w:hint="eastAsia"/>
                <w:color w:val="auto"/>
                <w:spacing w:val="-8"/>
                <w:sz w:val="24"/>
                <w:szCs w:val="24"/>
                <w:highlight w:val="none"/>
                <w:u w:val="none"/>
                <w:lang w:val="en-US" w:eastAsia="zh-CN"/>
              </w:rPr>
              <w:t>服务器</w:t>
            </w:r>
          </w:p>
        </w:tc>
        <w:tc>
          <w:tcPr>
            <w:tcW w:w="1340" w:type="dxa"/>
            <w:tcBorders>
              <w:left w:val="single" w:color="auto" w:sz="4" w:space="0"/>
              <w:bottom w:val="single" w:color="auto" w:sz="4" w:space="0"/>
              <w:right w:val="single" w:color="auto" w:sz="4" w:space="0"/>
            </w:tcBorders>
            <w:noWrap w:val="0"/>
            <w:vAlign w:val="center"/>
          </w:tcPr>
          <w:p w14:paraId="72E33A97">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center"/>
              <w:textAlignment w:val="auto"/>
              <w:rPr>
                <w:rFonts w:hint="eastAsia" w:ascii="宋体" w:hAnsi="宋体" w:eastAsia="宋体" w:cs="宋体"/>
                <w:color w:val="auto"/>
                <w:kern w:val="2"/>
                <w:sz w:val="24"/>
                <w:szCs w:val="24"/>
                <w:highlight w:val="none"/>
                <w:lang w:val="en-US" w:eastAsia="zh-CN" w:bidi="ar-SA"/>
              </w:rPr>
            </w:pPr>
          </w:p>
        </w:tc>
        <w:tc>
          <w:tcPr>
            <w:tcW w:w="1427" w:type="dxa"/>
            <w:tcBorders>
              <w:left w:val="single" w:color="auto" w:sz="4" w:space="0"/>
              <w:bottom w:val="single" w:color="auto" w:sz="4" w:space="0"/>
              <w:right w:val="single" w:color="auto" w:sz="4" w:space="0"/>
            </w:tcBorders>
            <w:noWrap w:val="0"/>
            <w:vAlign w:val="center"/>
          </w:tcPr>
          <w:p w14:paraId="32796959">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center"/>
              <w:textAlignment w:val="auto"/>
              <w:rPr>
                <w:rFonts w:hint="eastAsia" w:ascii="宋体" w:hAnsi="宋体" w:eastAsia="宋体" w:cs="宋体"/>
                <w:color w:val="auto"/>
                <w:kern w:val="0"/>
                <w:sz w:val="24"/>
                <w:szCs w:val="24"/>
                <w:highlight w:val="none"/>
                <w:lang w:val="en-US" w:eastAsia="zh-CN" w:bidi="ar-SA"/>
              </w:rPr>
            </w:pPr>
          </w:p>
        </w:tc>
        <w:tc>
          <w:tcPr>
            <w:tcW w:w="1333" w:type="dxa"/>
            <w:tcBorders>
              <w:left w:val="single" w:color="auto" w:sz="4" w:space="0"/>
              <w:bottom w:val="single" w:color="auto" w:sz="4" w:space="0"/>
              <w:right w:val="single" w:color="auto" w:sz="4" w:space="0"/>
            </w:tcBorders>
            <w:noWrap w:val="0"/>
            <w:vAlign w:val="center"/>
          </w:tcPr>
          <w:p w14:paraId="2D4D361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p>
        </w:tc>
        <w:tc>
          <w:tcPr>
            <w:tcW w:w="767" w:type="dxa"/>
            <w:tcBorders>
              <w:left w:val="single" w:color="auto" w:sz="4" w:space="0"/>
              <w:bottom w:val="single" w:color="auto" w:sz="4" w:space="0"/>
              <w:right w:val="single" w:color="auto" w:sz="4" w:space="0"/>
            </w:tcBorders>
            <w:noWrap w:val="0"/>
            <w:vAlign w:val="center"/>
          </w:tcPr>
          <w:p w14:paraId="385846DE">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p>
        </w:tc>
        <w:tc>
          <w:tcPr>
            <w:tcW w:w="1350" w:type="dxa"/>
            <w:tcBorders>
              <w:left w:val="single" w:color="auto" w:sz="4" w:space="0"/>
              <w:bottom w:val="single" w:color="auto" w:sz="4" w:space="0"/>
              <w:right w:val="single" w:color="auto" w:sz="4" w:space="0"/>
            </w:tcBorders>
            <w:noWrap w:val="0"/>
            <w:vAlign w:val="center"/>
          </w:tcPr>
          <w:p w14:paraId="63470E0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p>
        </w:tc>
      </w:tr>
      <w:tr w14:paraId="61B4A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877" w:type="dxa"/>
            <w:gridSpan w:val="6"/>
            <w:tcBorders>
              <w:top w:val="single" w:color="auto" w:sz="4" w:space="0"/>
              <w:left w:val="single" w:color="auto" w:sz="4" w:space="0"/>
              <w:bottom w:val="single" w:color="auto" w:sz="4" w:space="0"/>
              <w:right w:val="single" w:color="auto" w:sz="4" w:space="0"/>
            </w:tcBorders>
            <w:noWrap w:val="0"/>
            <w:vAlign w:val="center"/>
          </w:tcPr>
          <w:p w14:paraId="08ADE4A3">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合计价款金额（大写）：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元整 </w:t>
            </w:r>
            <w:r>
              <w:rPr>
                <w:rFonts w:hint="eastAsia" w:ascii="宋体" w:hAnsi="宋体" w:eastAsia="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人民币（小写）：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元</w:t>
            </w:r>
          </w:p>
        </w:tc>
      </w:tr>
    </w:tbl>
    <w:p w14:paraId="31F1D7C2">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 本合同约定价格为固定价格，不因物价、市场波动变更，约定价格包括且不限于设计费、材料费、人工费、安装费、包装费、运输费、装卸费、调试费、</w:t>
      </w:r>
      <w:r>
        <w:rPr>
          <w:rFonts w:hint="eastAsia" w:ascii="宋体" w:hAnsi="宋体" w:eastAsia="宋体" w:cs="宋体"/>
          <w:color w:val="0000FF"/>
          <w:sz w:val="24"/>
          <w:szCs w:val="24"/>
          <w:highlight w:val="none"/>
          <w:lang w:val="en-US" w:eastAsia="zh-CN"/>
        </w:rPr>
        <w:t>云影像系统软件永久使用费、</w:t>
      </w:r>
      <w:r>
        <w:rPr>
          <w:rFonts w:hint="eastAsia" w:ascii="宋体" w:hAnsi="宋体" w:eastAsia="宋体" w:cs="宋体"/>
          <w:color w:val="auto"/>
          <w:sz w:val="24"/>
          <w:szCs w:val="24"/>
          <w:lang w:val="en-US" w:eastAsia="zh-CN"/>
        </w:rPr>
        <w:t>软件升级费用、服务费、</w:t>
      </w:r>
      <w:r>
        <w:rPr>
          <w:rFonts w:hint="eastAsia" w:ascii="宋体" w:hAnsi="宋体" w:eastAsia="宋体" w:cs="宋体"/>
          <w:color w:val="000000" w:themeColor="text1"/>
          <w:sz w:val="24"/>
          <w:szCs w:val="24"/>
          <w:highlight w:val="none"/>
          <w:lang w:val="en-US" w:eastAsia="zh-CN"/>
          <w14:textFill>
            <w14:solidFill>
              <w14:schemeClr w14:val="tx1"/>
            </w14:solidFill>
          </w14:textFill>
        </w:rPr>
        <w:t>接口费、检测费、检验费、税费、保险费、售后服务费、附随服务费等在内所有费用，</w:t>
      </w:r>
      <w:r>
        <w:rPr>
          <w:rFonts w:hint="eastAsia" w:ascii="宋体" w:hAnsi="宋体" w:eastAsia="宋体" w:cs="宋体"/>
          <w:color w:val="auto"/>
          <w:sz w:val="24"/>
          <w:szCs w:val="24"/>
          <w:lang w:val="en-US" w:eastAsia="zh-CN"/>
        </w:rPr>
        <w:t>甲方不再就本合同约定范围内的内容向乙方额外支付任何其他费用。</w:t>
      </w:r>
    </w:p>
    <w:p w14:paraId="1FB9585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795B90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lang w:val="en-US" w:eastAsia="zh-CN"/>
          <w14:textFill>
            <w14:solidFill>
              <w14:schemeClr w14:val="tx1"/>
            </w14:solidFill>
          </w14:textFill>
        </w:rPr>
        <w:t>任意</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w:t>
      </w:r>
      <w:r>
        <w:rPr>
          <w:rFonts w:hint="eastAsia" w:ascii="宋体" w:hAnsi="宋体" w:cs="宋体"/>
          <w:color w:val="0000FF"/>
          <w:sz w:val="24"/>
          <w:szCs w:val="24"/>
          <w:highlight w:val="none"/>
          <w:lang w:val="en-US" w:eastAsia="zh-CN"/>
        </w:rPr>
        <w:t>改造、</w:t>
      </w:r>
      <w:r>
        <w:rPr>
          <w:rFonts w:hint="eastAsia" w:ascii="宋体" w:hAnsi="宋体" w:cs="宋体"/>
          <w:color w:val="000000" w:themeColor="text1"/>
          <w:sz w:val="24"/>
          <w:szCs w:val="24"/>
          <w:highlight w:val="none"/>
          <w14:textFill>
            <w14:solidFill>
              <w14:schemeClr w14:val="tx1"/>
            </w14:solidFill>
          </w14:textFill>
        </w:rPr>
        <w:t>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4526647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14:textFill>
            <w14:solidFill>
              <w14:schemeClr w14:val="tx1"/>
            </w14:solidFill>
          </w14:textFill>
        </w:rPr>
        <w:t xml:space="preserve"> 乙方提供的软件、硬件</w:t>
      </w:r>
      <w:r>
        <w:rPr>
          <w:rFonts w:hint="eastAsia" w:ascii="宋体" w:hAnsi="宋体" w:cs="宋体"/>
          <w:color w:val="0000FF"/>
          <w:sz w:val="24"/>
          <w:szCs w:val="24"/>
          <w:highlight w:val="none"/>
          <w:lang w:val="en-US" w:eastAsia="zh-CN"/>
        </w:rPr>
        <w:t>须完全符合本合同附件约定，并确保硬件、软件系统能正常工作，不影响甲方其他软硬件系统的运行。</w:t>
      </w:r>
    </w:p>
    <w:p w14:paraId="383DE38A">
      <w:pPr>
        <w:pStyle w:val="2"/>
        <w:keepNext w:val="0"/>
        <w:keepLines w:val="0"/>
        <w:pageBreakBefore w:val="0"/>
        <w:kinsoku/>
        <w:wordWrap/>
        <w:overflowPunct/>
        <w:topLinePunct w:val="0"/>
        <w:autoSpaceDE/>
        <w:autoSpaceDN/>
        <w:bidi w:val="0"/>
        <w:spacing w:line="480" w:lineRule="exact"/>
        <w:ind w:firstLine="480" w:firstLineChars="200"/>
        <w:rPr>
          <w:rFonts w:hint="default" w:eastAsiaTheme="minorEastAsia"/>
          <w:lang w:val="en-US" w:eastAsia="zh-CN"/>
        </w:rPr>
      </w:pPr>
      <w:r>
        <w:rPr>
          <w:rFonts w:hint="eastAsia" w:ascii="宋体" w:hAnsi="宋体" w:cs="宋体"/>
          <w:color w:val="0000FF"/>
          <w:sz w:val="24"/>
          <w:szCs w:val="24"/>
          <w:highlight w:val="none"/>
          <w:lang w:val="en-US" w:eastAsia="zh-CN"/>
        </w:rPr>
        <w:t>1.5 乙方应按甲方要求组建项目团队，团队成员具备甲方采购需求所要求的资质。</w:t>
      </w:r>
    </w:p>
    <w:p w14:paraId="6FF7C48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cs="宋体"/>
          <w:color w:val="000000" w:themeColor="text1"/>
          <w:sz w:val="24"/>
          <w:szCs w:val="24"/>
          <w:highlight w:val="none"/>
          <w14:textFill>
            <w14:solidFill>
              <w14:schemeClr w14:val="tx1"/>
            </w14:solidFill>
          </w14:textFill>
        </w:rPr>
        <w:t xml:space="preserve"> 甲方享有</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云影像系统</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软件的永久使用权。</w:t>
      </w:r>
    </w:p>
    <w:p w14:paraId="1B3BF85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eastAsiaTheme="minorEastAsia"/>
          <w:lang w:val="en-US" w:eastAsia="zh-CN"/>
        </w:rPr>
      </w:pP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云影像系统</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硬件的所有权自验收交付使用后转移给甲方。</w:t>
      </w:r>
    </w:p>
    <w:p w14:paraId="45A0E1C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423B998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6044BBD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本合同货物要求一次性交付，乙方应在自接到甲方通知之日起</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default" w:ascii="宋体" w:hAnsi="宋体" w:eastAsia="宋体" w:cs="宋体"/>
          <w:color w:val="000000" w:themeColor="text1"/>
          <w:sz w:val="24"/>
          <w:szCs w:val="24"/>
          <w:highlight w:val="none"/>
          <w:lang w:val="en-US" w:eastAsia="zh-CN"/>
          <w14:textFill>
            <w14:solidFill>
              <w14:schemeClr w14:val="tx1"/>
            </w14:solidFill>
          </w14:textFill>
        </w:rPr>
        <w:t>日内将全部货物运至甲方指定交货地点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FF0000"/>
          <w:sz w:val="24"/>
          <w:szCs w:val="24"/>
          <w:highlight w:val="none"/>
          <w:lang w:val="en-US" w:eastAsia="zh-CN"/>
        </w:rPr>
        <w:t>并在三十日内完成安装、调试和经甲方总体验收合格</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371464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20FFAA0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06A86E9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6E30460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w:t>
      </w:r>
      <w:r>
        <w:rPr>
          <w:rFonts w:hint="eastAsia" w:ascii="宋体" w:hAnsi="宋体" w:eastAsia="宋体" w:cs="宋体"/>
          <w:color w:val="auto"/>
          <w:sz w:val="24"/>
          <w:szCs w:val="24"/>
          <w:lang w:val="en-US" w:eastAsia="zh-CN"/>
        </w:rPr>
        <w:t>软件及硬件</w:t>
      </w:r>
      <w:r>
        <w:rPr>
          <w:rFonts w:hint="eastAsia" w:ascii="宋体" w:hAnsi="宋体" w:eastAsia="宋体" w:cs="宋体"/>
          <w:color w:val="000000" w:themeColor="text1"/>
          <w:sz w:val="24"/>
          <w:szCs w:val="24"/>
          <w:highlight w:val="none"/>
          <w:lang w:val="en-US" w:eastAsia="zh-CN"/>
          <w14:textFill>
            <w14:solidFill>
              <w14:schemeClr w14:val="tx1"/>
            </w14:solidFill>
          </w14:textFill>
        </w:rPr>
        <w:t>的技术参数和质量标准以投标文件/响应文件为准；如乙方投标/响应时提交了样品并经甲方确认封存的，货物质量标准以样品为准。</w:t>
      </w:r>
      <w:r>
        <w:rPr>
          <w:rFonts w:hint="eastAsia" w:ascii="宋体" w:hAnsi="宋体" w:eastAsia="宋体" w:cs="宋体"/>
          <w:color w:val="0000FF"/>
          <w:sz w:val="24"/>
          <w:szCs w:val="24"/>
          <w:highlight w:val="none"/>
          <w:lang w:val="en-US" w:eastAsia="zh-CN"/>
        </w:rPr>
        <w:t>如乙方应交付的硬件设备属于国产</w:t>
      </w:r>
      <w:r>
        <w:rPr>
          <w:rFonts w:hint="eastAsia" w:ascii="宋体" w:hAnsi="宋体" w:cs="宋体"/>
          <w:color w:val="0000FF"/>
          <w:sz w:val="24"/>
          <w:szCs w:val="24"/>
          <w:highlight w:val="none"/>
          <w:lang w:val="en-US" w:eastAsia="zh-CN"/>
        </w:rPr>
        <w:t>设备，则应保证该设备为交付时起近</w:t>
      </w:r>
      <w:r>
        <w:rPr>
          <w:rFonts w:hint="eastAsia" w:ascii="宋体" w:hAnsi="宋体" w:cs="宋体"/>
          <w:color w:val="0000FF"/>
          <w:sz w:val="24"/>
          <w:szCs w:val="24"/>
          <w:highlight w:val="none"/>
          <w:lang w:eastAsia="zh-CN"/>
        </w:rPr>
        <w:t>6个月内生产的产品；</w:t>
      </w:r>
      <w:r>
        <w:rPr>
          <w:rFonts w:hint="eastAsia" w:ascii="宋体" w:hAnsi="宋体" w:cs="宋体"/>
          <w:color w:val="0000FF"/>
          <w:sz w:val="24"/>
          <w:szCs w:val="24"/>
          <w:highlight w:val="none"/>
          <w:lang w:val="en-US" w:eastAsia="zh-CN"/>
        </w:rPr>
        <w:t>如乙方</w:t>
      </w:r>
      <w:r>
        <w:rPr>
          <w:rFonts w:hint="eastAsia" w:ascii="宋体" w:hAnsi="宋体" w:eastAsia="宋体" w:cs="宋体"/>
          <w:color w:val="0000FF"/>
          <w:sz w:val="24"/>
          <w:szCs w:val="24"/>
          <w:highlight w:val="none"/>
          <w:lang w:val="en-US" w:eastAsia="zh-CN"/>
        </w:rPr>
        <w:t>应</w:t>
      </w:r>
      <w:r>
        <w:rPr>
          <w:rFonts w:hint="eastAsia" w:ascii="宋体" w:hAnsi="宋体" w:cs="宋体"/>
          <w:color w:val="0000FF"/>
          <w:sz w:val="24"/>
          <w:szCs w:val="24"/>
          <w:highlight w:val="none"/>
          <w:lang w:val="en-US" w:eastAsia="zh-CN"/>
        </w:rPr>
        <w:t>交付的硬件设备属于</w:t>
      </w:r>
      <w:r>
        <w:rPr>
          <w:rFonts w:hint="eastAsia" w:ascii="宋体" w:hAnsi="宋体" w:eastAsia="宋体" w:cs="宋体"/>
          <w:color w:val="0000FF"/>
          <w:sz w:val="24"/>
          <w:szCs w:val="24"/>
          <w:highlight w:val="none"/>
          <w:lang w:val="en-US" w:eastAsia="zh-CN"/>
        </w:rPr>
        <w:t>进口设备</w:t>
      </w:r>
      <w:r>
        <w:rPr>
          <w:rFonts w:hint="eastAsia" w:ascii="宋体" w:hAnsi="宋体" w:cs="宋体"/>
          <w:color w:val="0000FF"/>
          <w:sz w:val="24"/>
          <w:szCs w:val="24"/>
          <w:highlight w:val="none"/>
          <w:lang w:val="en-US" w:eastAsia="zh-CN"/>
        </w:rPr>
        <w:t>，则应保证该设备</w:t>
      </w:r>
      <w:r>
        <w:rPr>
          <w:rFonts w:hint="eastAsia" w:ascii="宋体" w:hAnsi="宋体" w:cs="宋体"/>
          <w:color w:val="0000FF"/>
          <w:sz w:val="24"/>
          <w:szCs w:val="24"/>
          <w:highlight w:val="none"/>
          <w:lang w:eastAsia="zh-CN"/>
        </w:rPr>
        <w:t>为</w:t>
      </w:r>
      <w:r>
        <w:rPr>
          <w:rFonts w:hint="eastAsia" w:ascii="宋体" w:hAnsi="宋体" w:cs="宋体"/>
          <w:color w:val="0000FF"/>
          <w:sz w:val="24"/>
          <w:szCs w:val="24"/>
          <w:highlight w:val="none"/>
          <w:lang w:val="en-US" w:eastAsia="zh-CN"/>
        </w:rPr>
        <w:t>交付时起近一年</w:t>
      </w:r>
      <w:r>
        <w:rPr>
          <w:rFonts w:hint="eastAsia" w:ascii="宋体" w:hAnsi="宋体" w:cs="宋体"/>
          <w:color w:val="0000FF"/>
          <w:sz w:val="24"/>
          <w:szCs w:val="24"/>
          <w:highlight w:val="none"/>
          <w:lang w:eastAsia="zh-CN"/>
        </w:rPr>
        <w:t>内生产的产品</w:t>
      </w:r>
      <w:r>
        <w:rPr>
          <w:rFonts w:hint="eastAsia" w:ascii="宋体" w:hAnsi="宋体" w:eastAsia="宋体" w:cs="宋体"/>
          <w:color w:val="0000FF"/>
          <w:sz w:val="24"/>
          <w:szCs w:val="24"/>
          <w:highlight w:val="none"/>
          <w:lang w:val="en-US" w:eastAsia="zh-CN"/>
        </w:rPr>
        <w:t>。</w:t>
      </w:r>
    </w:p>
    <w:p w14:paraId="6E6EA20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0333EC4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w:t>
      </w:r>
      <w:r>
        <w:rPr>
          <w:rFonts w:hint="eastAsia" w:ascii="宋体" w:hAnsi="宋体" w:eastAsia="宋体" w:cs="宋体"/>
          <w:color w:val="FF0000"/>
          <w:sz w:val="24"/>
          <w:szCs w:val="24"/>
          <w:highlight w:val="none"/>
          <w:lang w:val="en-US" w:eastAsia="zh-CN"/>
        </w:rPr>
        <w:t>补货、更换等，并确保到货验收合格，因</w:t>
      </w:r>
      <w:r>
        <w:rPr>
          <w:rFonts w:hint="eastAsia" w:ascii="宋体" w:hAnsi="宋体" w:eastAsia="宋体" w:cs="宋体"/>
          <w:b w:val="0"/>
          <w:bCs w:val="0"/>
          <w:color w:val="FF0000"/>
          <w:sz w:val="24"/>
          <w:szCs w:val="24"/>
          <w:lang w:val="en-US" w:eastAsia="zh-CN"/>
        </w:rPr>
        <w:t>此产生的违约责任和所有费用由乙方承担</w:t>
      </w:r>
      <w:r>
        <w:rPr>
          <w:rFonts w:hint="eastAsia" w:ascii="宋体" w:hAnsi="宋体" w:eastAsia="宋体" w:cs="宋体"/>
          <w:b w:val="0"/>
          <w:bCs w:val="0"/>
          <w:color w:val="auto"/>
          <w:sz w:val="24"/>
          <w:szCs w:val="24"/>
          <w:lang w:val="en-US" w:eastAsia="zh-CN"/>
        </w:rPr>
        <w:t>。</w:t>
      </w:r>
    </w:p>
    <w:p w14:paraId="12A56D9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3.2.2 总体验收：乙方将本合同软件及硬件安装、调试后应及时通知甲方，甲方自接到乙方通知之日起</w:t>
      </w:r>
      <w:r>
        <w:rPr>
          <w:rFonts w:hint="eastAsia" w:ascii="宋体" w:hAnsi="宋体" w:eastAsia="宋体" w:cs="宋体"/>
          <w:b w:val="0"/>
          <w:bCs w:val="0"/>
          <w:color w:val="auto"/>
          <w:sz w:val="24"/>
          <w:szCs w:val="24"/>
          <w:u w:val="single"/>
          <w:lang w:val="en-US" w:eastAsia="zh-CN"/>
        </w:rPr>
        <w:t>7</w:t>
      </w:r>
      <w:r>
        <w:rPr>
          <w:rFonts w:hint="eastAsia" w:ascii="宋体" w:hAnsi="宋体" w:eastAsia="宋体" w:cs="宋体"/>
          <w:b w:val="0"/>
          <w:bCs w:val="0"/>
          <w:color w:val="auto"/>
          <w:sz w:val="24"/>
          <w:szCs w:val="24"/>
          <w:lang w:val="en-US" w:eastAsia="zh-CN"/>
        </w:rPr>
        <w:t>日内自行组织验收，软件及硬件正常运行且满足</w:t>
      </w:r>
      <w:r>
        <w:rPr>
          <w:rFonts w:hint="eastAsia" w:ascii="宋体" w:hAnsi="宋体" w:eastAsia="宋体" w:cs="宋体"/>
          <w:color w:val="auto"/>
          <w:sz w:val="24"/>
          <w:szCs w:val="24"/>
          <w:lang w:val="en-US" w:eastAsia="zh-CN"/>
        </w:rPr>
        <w:t>要求和甲方需求</w:t>
      </w:r>
      <w:r>
        <w:rPr>
          <w:rFonts w:hint="eastAsia" w:ascii="宋体" w:hAnsi="宋体" w:eastAsia="宋体" w:cs="宋体"/>
          <w:b w:val="0"/>
          <w:bCs w:val="0"/>
          <w:color w:val="auto"/>
          <w:sz w:val="24"/>
          <w:szCs w:val="24"/>
          <w:lang w:val="en-US" w:eastAsia="zh-CN"/>
        </w:rPr>
        <w:t>方为验收合格，甲方签署总体验收报告单。如经甲方验收不合格，乙方应在</w:t>
      </w:r>
      <w:r>
        <w:rPr>
          <w:rFonts w:hint="eastAsia" w:ascii="宋体" w:hAnsi="宋体" w:eastAsia="宋体" w:cs="宋体"/>
          <w:b w:val="0"/>
          <w:bCs w:val="0"/>
          <w:color w:val="auto"/>
          <w:sz w:val="24"/>
          <w:szCs w:val="24"/>
          <w:u w:val="single"/>
          <w:lang w:val="en-US" w:eastAsia="zh-CN"/>
        </w:rPr>
        <w:t xml:space="preserve"> 3 </w:t>
      </w:r>
      <w:r>
        <w:rPr>
          <w:rFonts w:hint="eastAsia" w:ascii="宋体" w:hAnsi="宋体" w:eastAsia="宋体" w:cs="宋体"/>
          <w:b w:val="0"/>
          <w:bCs w:val="0"/>
          <w:color w:val="auto"/>
          <w:sz w:val="24"/>
          <w:szCs w:val="24"/>
          <w:lang w:val="en-US" w:eastAsia="zh-CN"/>
        </w:rPr>
        <w:t>日内无条件予以返工并</w:t>
      </w:r>
      <w:r>
        <w:rPr>
          <w:rFonts w:hint="eastAsia" w:ascii="宋体" w:hAnsi="宋体" w:eastAsia="宋体" w:cs="宋体"/>
          <w:b w:val="0"/>
          <w:bCs w:val="0"/>
          <w:color w:val="FF0000"/>
          <w:sz w:val="24"/>
          <w:szCs w:val="24"/>
          <w:lang w:val="en-US" w:eastAsia="zh-CN"/>
        </w:rPr>
        <w:t>确保总体验收合格，</w:t>
      </w:r>
      <w:r>
        <w:rPr>
          <w:rFonts w:hint="eastAsia" w:ascii="宋体" w:hAnsi="宋体" w:eastAsia="宋体" w:cs="宋体"/>
          <w:color w:val="FF0000"/>
          <w:sz w:val="24"/>
          <w:szCs w:val="24"/>
          <w:highlight w:val="none"/>
          <w:lang w:val="en-US" w:eastAsia="zh-CN"/>
        </w:rPr>
        <w:t>因</w:t>
      </w:r>
      <w:r>
        <w:rPr>
          <w:rFonts w:hint="eastAsia" w:ascii="宋体" w:hAnsi="宋体" w:eastAsia="宋体" w:cs="宋体"/>
          <w:b w:val="0"/>
          <w:bCs w:val="0"/>
          <w:color w:val="FF0000"/>
          <w:sz w:val="24"/>
          <w:szCs w:val="24"/>
          <w:lang w:val="en-US" w:eastAsia="zh-CN"/>
        </w:rPr>
        <w:t>此产生的违约责任和所有费用由乙方承担</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0000FF"/>
          <w:sz w:val="24"/>
          <w:szCs w:val="24"/>
          <w:lang w:val="en-US" w:eastAsia="zh-CN"/>
        </w:rPr>
        <w:t>如乙方无法在本合同约定时间内通过甲方再次验收，甲方有权单方面解除合同。</w:t>
      </w:r>
    </w:p>
    <w:p w14:paraId="60C2215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auto"/>
          <w:sz w:val="24"/>
          <w:szCs w:val="24"/>
          <w:lang w:val="en-US" w:eastAsia="zh-CN"/>
        </w:rPr>
        <w:t>3.2.3 甲方验收时如发现乙方所交付的软件系统及硬件不符合本合同约定，甲方应做出详尽的现场记录，由甲乙双方签署备忘录，该现场记录和备忘录作为乙方重新返工的有效依据，由此产生的一切经济损失由乙方承担。</w:t>
      </w:r>
    </w:p>
    <w:p w14:paraId="6423EDC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2A73E4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54F8C4F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6B26689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赵俊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7AAD6D0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1D7DD9F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0910252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17B5DAD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5.1硬件售后服务</w:t>
      </w:r>
    </w:p>
    <w:p w14:paraId="54478EC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5.1.1本合同硬件质保期为</w:t>
      </w:r>
      <w:r>
        <w:rPr>
          <w:rFonts w:hint="eastAsia" w:ascii="宋体" w:hAnsi="宋体" w:eastAsia="宋体" w:cs="宋体"/>
          <w:b w:val="0"/>
          <w:bCs w:val="0"/>
          <w:color w:val="auto"/>
          <w:kern w:val="2"/>
          <w:sz w:val="24"/>
          <w:szCs w:val="24"/>
          <w:u w:val="single"/>
          <w:lang w:val="en-US" w:eastAsia="zh-CN" w:bidi="ar-SA"/>
        </w:rPr>
        <w:t xml:space="preserve"> 1 </w:t>
      </w:r>
      <w:r>
        <w:rPr>
          <w:rFonts w:hint="eastAsia" w:ascii="宋体" w:hAnsi="宋体" w:eastAsia="宋体" w:cs="宋体"/>
          <w:b w:val="0"/>
          <w:bCs w:val="0"/>
          <w:color w:val="auto"/>
          <w:kern w:val="2"/>
          <w:sz w:val="24"/>
          <w:szCs w:val="24"/>
          <w:u w:val="none"/>
          <w:lang w:val="en-US" w:eastAsia="zh-CN" w:bidi="ar-SA"/>
        </w:rPr>
        <w:t>年</w:t>
      </w:r>
      <w:r>
        <w:rPr>
          <w:rFonts w:hint="eastAsia" w:ascii="宋体" w:hAnsi="宋体" w:eastAsia="宋体" w:cs="宋体"/>
          <w:b w:val="0"/>
          <w:bCs w:val="0"/>
          <w:color w:val="auto"/>
          <w:kern w:val="2"/>
          <w:sz w:val="24"/>
          <w:szCs w:val="24"/>
          <w:lang w:val="en-US" w:eastAsia="zh-CN" w:bidi="ar-SA"/>
        </w:rPr>
        <w:t>，自甲方在总体验收报告单上签字确认合格之日起算。</w:t>
      </w:r>
    </w:p>
    <w:p w14:paraId="4738A7B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5.1.2乙方在质保期内免费提供硬件维修、更换、保养、咨询等服务。如硬件在质保期内出现质量问题，乙方应在接到甲方通知（包括电话通知）后</w:t>
      </w:r>
      <w:r>
        <w:rPr>
          <w:rFonts w:hint="eastAsia" w:ascii="宋体" w:hAnsi="宋体" w:eastAsia="宋体" w:cs="宋体"/>
          <w:b w:val="0"/>
          <w:bCs w:val="0"/>
          <w:color w:val="auto"/>
          <w:kern w:val="2"/>
          <w:sz w:val="24"/>
          <w:szCs w:val="24"/>
          <w:u w:val="single"/>
          <w:lang w:val="en-US" w:eastAsia="zh-CN" w:bidi="ar-SA"/>
        </w:rPr>
        <w:t xml:space="preserve"> 24 </w:t>
      </w:r>
      <w:r>
        <w:rPr>
          <w:rFonts w:hint="eastAsia" w:ascii="宋体" w:hAnsi="宋体" w:eastAsia="宋体" w:cs="宋体"/>
          <w:b w:val="0"/>
          <w:bCs w:val="0"/>
          <w:color w:val="auto"/>
          <w:kern w:val="2"/>
          <w:sz w:val="24"/>
          <w:szCs w:val="24"/>
          <w:lang w:val="en-US" w:eastAsia="zh-CN" w:bidi="ar-SA"/>
        </w:rPr>
        <w:t>小时内赶到现场，到场后</w:t>
      </w:r>
      <w:r>
        <w:rPr>
          <w:rFonts w:hint="eastAsia" w:ascii="宋体" w:hAnsi="宋体" w:eastAsia="宋体" w:cs="宋体"/>
          <w:b w:val="0"/>
          <w:bCs w:val="0"/>
          <w:color w:val="auto"/>
          <w:kern w:val="2"/>
          <w:sz w:val="24"/>
          <w:szCs w:val="24"/>
          <w:u w:val="single"/>
          <w:lang w:val="en-US" w:eastAsia="zh-CN" w:bidi="ar-SA"/>
        </w:rPr>
        <w:t xml:space="preserve"> 4 </w:t>
      </w:r>
      <w:r>
        <w:rPr>
          <w:rFonts w:hint="eastAsia" w:ascii="宋体" w:hAnsi="宋体" w:eastAsia="宋体" w:cs="宋体"/>
          <w:b w:val="0"/>
          <w:bCs w:val="0"/>
          <w:color w:val="auto"/>
          <w:kern w:val="2"/>
          <w:sz w:val="24"/>
          <w:szCs w:val="24"/>
          <w:lang w:val="en-US" w:eastAsia="zh-CN" w:bidi="ar-SA"/>
        </w:rPr>
        <w:t>小时内完成维修或更换，相关费用由乙方承担。如乙方不及时履行保修义务，甲方有权委托第三方进行维修，由此产生的相关费用，在支付价款中予以扣除或要求乙方支付对应货物价款。</w:t>
      </w:r>
    </w:p>
    <w:p w14:paraId="31B59E3E">
      <w:pPr>
        <w:pStyle w:val="2"/>
        <w:keepNext w:val="0"/>
        <w:keepLines w:val="0"/>
        <w:pageBreakBefore w:val="0"/>
        <w:kinsoku/>
        <w:wordWrap/>
        <w:overflowPunct/>
        <w:topLinePunct w:val="0"/>
        <w:autoSpaceDE/>
        <w:autoSpaceDN/>
        <w:bidi w:val="0"/>
        <w:spacing w:line="480" w:lineRule="exact"/>
        <w:ind w:firstLine="480" w:firstLineChars="200"/>
        <w:rPr>
          <w:rFonts w:hint="default"/>
          <w:color w:val="0000FF"/>
          <w:lang w:val="en-US" w:eastAsia="zh-CN"/>
        </w:rPr>
      </w:pPr>
      <w:r>
        <w:rPr>
          <w:rFonts w:hint="eastAsia" w:ascii="宋体" w:hAnsi="宋体" w:eastAsia="宋体" w:cs="宋体"/>
          <w:b w:val="0"/>
          <w:bCs w:val="0"/>
          <w:color w:val="0000FF"/>
          <w:kern w:val="2"/>
          <w:sz w:val="24"/>
          <w:szCs w:val="24"/>
          <w:lang w:val="en-US" w:eastAsia="zh-CN" w:bidi="ar-SA"/>
        </w:rPr>
        <w:t>5.1.3 乙方所提供和更换的硬件、配件、零件、备件等应均为全新原厂同型号产品，如不能提供相同型号产品，乙方应免费提供平滑升级产品（平滑升级上一档次产品）。</w:t>
      </w:r>
    </w:p>
    <w:p w14:paraId="01B31A5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5.1.4 质保期内，乙方每年至少对硬件进行</w:t>
      </w:r>
      <w:r>
        <w:rPr>
          <w:rFonts w:hint="eastAsia" w:ascii="宋体" w:hAnsi="宋体" w:eastAsia="宋体" w:cs="宋体"/>
          <w:b w:val="0"/>
          <w:bCs w:val="0"/>
          <w:color w:val="auto"/>
          <w:kern w:val="2"/>
          <w:sz w:val="24"/>
          <w:szCs w:val="24"/>
          <w:u w:val="single"/>
          <w:lang w:val="en-US" w:eastAsia="zh-CN" w:bidi="ar-SA"/>
        </w:rPr>
        <w:t xml:space="preserve"> 4 </w:t>
      </w:r>
      <w:r>
        <w:rPr>
          <w:rFonts w:hint="eastAsia" w:ascii="宋体" w:hAnsi="宋体" w:eastAsia="宋体" w:cs="宋体"/>
          <w:b w:val="0"/>
          <w:bCs w:val="0"/>
          <w:color w:val="auto"/>
          <w:kern w:val="2"/>
          <w:sz w:val="24"/>
          <w:szCs w:val="24"/>
          <w:lang w:val="en-US" w:eastAsia="zh-CN" w:bidi="ar-SA"/>
        </w:rPr>
        <w:t>次巡检并提供巡检报告。</w:t>
      </w:r>
    </w:p>
    <w:p w14:paraId="48C9849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5.1.5 质保期届满后，如硬件出现问题，乙方应在接到甲方通知（包括电话通知）后24小时内到场，到场后4小时内完成维修或更换，相关费用由甲方承担，但费用不得超出当时市场价格。</w:t>
      </w:r>
    </w:p>
    <w:p w14:paraId="1C9FB4B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5.1.6 乙方须指派</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，电话：</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，专门负责与甲方联系硬件售后服务事宜，如人员发生变动，应及时通知甲方，如因未通知造成甲方损失的，乙方应承担全部经济赔偿责任。</w:t>
      </w:r>
    </w:p>
    <w:p w14:paraId="44FAE88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5.2 软件系统维保服务</w:t>
      </w:r>
    </w:p>
    <w:p w14:paraId="7CF71E0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5.2.1本合同软件系统</w:t>
      </w:r>
      <w:r>
        <w:rPr>
          <w:rFonts w:hint="eastAsia" w:ascii="宋体" w:hAnsi="宋体" w:eastAsia="宋体" w:cs="宋体"/>
          <w:b w:val="0"/>
          <w:bCs w:val="0"/>
          <w:color w:val="FF0000"/>
          <w:kern w:val="2"/>
          <w:sz w:val="24"/>
          <w:szCs w:val="24"/>
          <w:lang w:val="en-US" w:eastAsia="zh-CN" w:bidi="ar-SA"/>
        </w:rPr>
        <w:t>免费</w:t>
      </w:r>
      <w:r>
        <w:rPr>
          <w:rFonts w:hint="eastAsia" w:ascii="宋体" w:hAnsi="宋体" w:eastAsia="宋体" w:cs="宋体"/>
          <w:b w:val="0"/>
          <w:bCs w:val="0"/>
          <w:color w:val="auto"/>
          <w:kern w:val="2"/>
          <w:sz w:val="24"/>
          <w:szCs w:val="24"/>
          <w:lang w:val="en-US" w:eastAsia="zh-CN" w:bidi="ar-SA"/>
        </w:rPr>
        <w:t>维保服务期限为</w:t>
      </w:r>
      <w:r>
        <w:rPr>
          <w:rFonts w:hint="eastAsia" w:ascii="宋体" w:hAnsi="宋体" w:eastAsia="宋体" w:cs="宋体"/>
          <w:b w:val="0"/>
          <w:bCs w:val="0"/>
          <w:color w:val="auto"/>
          <w:kern w:val="2"/>
          <w:sz w:val="24"/>
          <w:szCs w:val="24"/>
          <w:u w:val="single"/>
          <w:lang w:val="en-US" w:eastAsia="zh-CN" w:bidi="ar-SA"/>
        </w:rPr>
        <w:t xml:space="preserve"> 1 </w:t>
      </w:r>
      <w:r>
        <w:rPr>
          <w:rFonts w:hint="eastAsia" w:ascii="宋体" w:hAnsi="宋体" w:eastAsia="宋体" w:cs="宋体"/>
          <w:b w:val="0"/>
          <w:bCs w:val="0"/>
          <w:color w:val="auto"/>
          <w:kern w:val="2"/>
          <w:sz w:val="24"/>
          <w:szCs w:val="24"/>
          <w:lang w:val="en-US" w:eastAsia="zh-CN" w:bidi="ar-SA"/>
        </w:rPr>
        <w:t>年，自甲方总体验收合格之日起算。</w:t>
      </w:r>
    </w:p>
    <w:p w14:paraId="5A31122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5.2.2 服务方式：</w:t>
      </w:r>
      <w:r>
        <w:rPr>
          <w:rFonts w:hint="eastAsia" w:ascii="宋体" w:hAnsi="宋体" w:eastAsia="宋体" w:cs="宋体"/>
          <w:b w:val="0"/>
          <w:bCs w:val="0"/>
          <w:color w:val="0000FF"/>
          <w:kern w:val="2"/>
          <w:sz w:val="24"/>
          <w:szCs w:val="24"/>
          <w:lang w:val="en-US" w:eastAsia="zh-CN" w:bidi="ar-SA"/>
        </w:rPr>
        <w:t>乙方按甲方要求提供</w:t>
      </w:r>
      <w:r>
        <w:rPr>
          <w:rFonts w:hint="eastAsia" w:ascii="宋体" w:hAnsi="宋体" w:eastAsia="宋体" w:cs="宋体"/>
          <w:b w:val="0"/>
          <w:bCs w:val="0"/>
          <w:color w:val="auto"/>
          <w:kern w:val="2"/>
          <w:sz w:val="24"/>
          <w:szCs w:val="24"/>
          <w:lang w:val="en-US" w:eastAsia="zh-CN" w:bidi="ar-SA"/>
        </w:rPr>
        <w:t>接口升级、调试服务、技术咨询、电话服务、远程服务、现场服务</w:t>
      </w:r>
      <w:r>
        <w:rPr>
          <w:rFonts w:hint="eastAsia" w:ascii="宋体" w:hAnsi="宋体" w:eastAsia="宋体" w:cs="宋体"/>
          <w:b w:val="0"/>
          <w:bCs w:val="0"/>
          <w:color w:val="0000FF"/>
          <w:kern w:val="2"/>
          <w:sz w:val="24"/>
          <w:szCs w:val="24"/>
          <w:lang w:val="en-US" w:eastAsia="zh-CN" w:bidi="ar-SA"/>
        </w:rPr>
        <w:t>等服务</w:t>
      </w:r>
      <w:r>
        <w:rPr>
          <w:rFonts w:hint="eastAsia" w:ascii="宋体" w:hAnsi="宋体" w:eastAsia="宋体" w:cs="宋体"/>
          <w:b w:val="0"/>
          <w:bCs w:val="0"/>
          <w:color w:val="auto"/>
          <w:kern w:val="2"/>
          <w:sz w:val="24"/>
          <w:szCs w:val="24"/>
          <w:lang w:val="en-US" w:eastAsia="zh-CN" w:bidi="ar-SA"/>
        </w:rPr>
        <w:t>。</w:t>
      </w:r>
    </w:p>
    <w:p w14:paraId="349CF8A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5.2.3 乙方搭建测试环境，供甲方进行测试联调；提供接口方案调试的技术支持，保证数据完成数据传递。</w:t>
      </w:r>
    </w:p>
    <w:p w14:paraId="5256D77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5.2.4 远程服务：乙方提供远程监测和远程维护的服务体系，如出现紧急情况，必要时由技术人员通过远程登录系统端，及时进行远程服务。</w:t>
      </w:r>
    </w:p>
    <w:p w14:paraId="73921E22">
      <w:pPr>
        <w:spacing w:line="360" w:lineRule="auto"/>
        <w:ind w:firstLine="420" w:firstLineChars="175"/>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highlight w:val="none"/>
          <w:lang w:val="en-US" w:eastAsia="zh-CN" w:bidi="ar-SA"/>
        </w:rPr>
        <w:t>5.2.5 在</w:t>
      </w:r>
      <w:r>
        <w:rPr>
          <w:rFonts w:hint="eastAsia" w:ascii="宋体" w:hAnsi="宋体" w:eastAsia="宋体" w:cs="宋体"/>
          <w:b w:val="0"/>
          <w:bCs w:val="0"/>
          <w:color w:val="FF0000"/>
          <w:kern w:val="2"/>
          <w:sz w:val="24"/>
          <w:szCs w:val="24"/>
          <w:highlight w:val="none"/>
          <w:lang w:val="en-US" w:eastAsia="zh-CN" w:bidi="ar-SA"/>
        </w:rPr>
        <w:t>免费</w:t>
      </w:r>
      <w:r>
        <w:rPr>
          <w:rFonts w:hint="eastAsia" w:ascii="宋体" w:hAnsi="宋体" w:eastAsia="宋体" w:cs="宋体"/>
          <w:b w:val="0"/>
          <w:bCs w:val="0"/>
          <w:color w:val="auto"/>
          <w:kern w:val="2"/>
          <w:sz w:val="24"/>
          <w:szCs w:val="24"/>
          <w:highlight w:val="none"/>
          <w:lang w:val="en-US" w:eastAsia="zh-CN" w:bidi="ar-SA"/>
        </w:rPr>
        <w:t>维保服务期限内，乙方每周通过电话、邮件、微信等网络方式为甲方提供7天</w:t>
      </w:r>
      <w:r>
        <w:rPr>
          <w:rFonts w:hint="default" w:ascii="宋体" w:hAnsi="宋体" w:eastAsia="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24小时软件技术服务，乙方指定联系人</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、联系电话：</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、电子邮箱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b w:val="0"/>
          <w:bCs w:val="0"/>
          <w:color w:val="auto"/>
          <w:kern w:val="2"/>
          <w:sz w:val="24"/>
          <w:szCs w:val="24"/>
          <w:highlight w:val="none"/>
          <w:lang w:val="en-US" w:eastAsia="zh-CN" w:bidi="ar-SA"/>
        </w:rPr>
        <w:t>、微信号</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专门负责与甲方联络。如系统发生故障，乙方自接到甲方故障通知后30分钟内响应，并通过远程服</w:t>
      </w:r>
      <w:r>
        <w:rPr>
          <w:rFonts w:hint="eastAsia" w:ascii="宋体" w:hAnsi="宋体" w:eastAsia="宋体" w:cs="宋体"/>
          <w:b w:val="0"/>
          <w:bCs w:val="0"/>
          <w:color w:val="auto"/>
          <w:kern w:val="2"/>
          <w:sz w:val="24"/>
          <w:szCs w:val="24"/>
          <w:lang w:val="en-US" w:eastAsia="zh-CN" w:bidi="ar-SA"/>
        </w:rPr>
        <w:t>务进行维护。</w:t>
      </w:r>
    </w:p>
    <w:p w14:paraId="4DFC4F4F">
      <w:pPr>
        <w:spacing w:line="360" w:lineRule="auto"/>
        <w:ind w:firstLine="420" w:firstLineChars="175"/>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0000FF"/>
          <w:kern w:val="2"/>
          <w:sz w:val="24"/>
          <w:szCs w:val="24"/>
          <w:lang w:val="en-US" w:eastAsia="zh-CN" w:bidi="ar-SA"/>
        </w:rPr>
        <w:t>远程服务：</w:t>
      </w:r>
      <w:r>
        <w:rPr>
          <w:rFonts w:hint="eastAsia" w:ascii="宋体" w:hAnsi="宋体" w:eastAsia="宋体" w:cs="宋体"/>
          <w:b w:val="0"/>
          <w:bCs w:val="0"/>
          <w:color w:val="auto"/>
          <w:kern w:val="2"/>
          <w:sz w:val="24"/>
          <w:szCs w:val="24"/>
          <w:lang w:val="en-US" w:eastAsia="zh-CN" w:bidi="ar-SA"/>
        </w:rPr>
        <w:t>一级故障，自接到甲方通知后1小时内确认故障，总故障解决时间不超过4小时；二级故障，自接到甲方通知后2小时内确认故障，总故障解决时间不超过8小时；三、四级故障，应接到甲方通知后4小时内确认故障，总故障解决时间不超过24小时；特殊故障，与甲方协商，</w:t>
      </w:r>
      <w:r>
        <w:rPr>
          <w:rFonts w:hint="eastAsia" w:ascii="宋体" w:hAnsi="宋体" w:eastAsia="宋体" w:cs="宋体"/>
          <w:b w:val="0"/>
          <w:bCs w:val="0"/>
          <w:color w:val="0000FF"/>
          <w:kern w:val="2"/>
          <w:sz w:val="24"/>
          <w:szCs w:val="24"/>
          <w:lang w:val="en-US" w:eastAsia="zh-CN" w:bidi="ar-SA"/>
        </w:rPr>
        <w:t>按照经甲方同意的方案和时间表解决故障</w:t>
      </w:r>
      <w:r>
        <w:rPr>
          <w:rFonts w:hint="eastAsia" w:ascii="宋体" w:hAnsi="宋体" w:eastAsia="宋体" w:cs="宋体"/>
          <w:b w:val="0"/>
          <w:bCs w:val="0"/>
          <w:color w:val="auto"/>
          <w:kern w:val="2"/>
          <w:sz w:val="24"/>
          <w:szCs w:val="24"/>
          <w:lang w:val="en-US" w:eastAsia="zh-CN" w:bidi="ar-SA"/>
        </w:rPr>
        <w:t>。</w:t>
      </w:r>
    </w:p>
    <w:p w14:paraId="4B8FC62E">
      <w:pPr>
        <w:spacing w:line="360" w:lineRule="auto"/>
        <w:ind w:firstLine="420" w:firstLineChars="175"/>
        <w:rPr>
          <w:rFonts w:hint="eastAsia"/>
          <w:lang w:val="en-US" w:eastAsia="zh-CN"/>
        </w:rPr>
      </w:pPr>
      <w:r>
        <w:rPr>
          <w:rFonts w:hint="eastAsia" w:ascii="宋体" w:hAnsi="宋体" w:eastAsia="宋体" w:cs="宋体"/>
          <w:b w:val="0"/>
          <w:bCs w:val="0"/>
          <w:color w:val="0000FF"/>
          <w:kern w:val="2"/>
          <w:sz w:val="24"/>
          <w:szCs w:val="24"/>
          <w:lang w:val="en-US" w:eastAsia="zh-CN" w:bidi="ar-SA"/>
        </w:rPr>
        <w:t>现场服务：</w:t>
      </w:r>
      <w:r>
        <w:rPr>
          <w:rFonts w:hint="eastAsia" w:ascii="宋体" w:hAnsi="宋体" w:eastAsia="宋体" w:cs="宋体"/>
          <w:b w:val="0"/>
          <w:bCs w:val="0"/>
          <w:color w:val="auto"/>
          <w:kern w:val="2"/>
          <w:sz w:val="24"/>
          <w:szCs w:val="24"/>
          <w:lang w:val="en-US" w:eastAsia="zh-CN" w:bidi="ar-SA"/>
        </w:rPr>
        <w:t>如远程服务无法解决，乙方应免费上门服务，普通情况应自接到甲方通知后48小时内到达现场，紧急情况应自接到甲方通知后24小时内到达现场，与甲方协商，</w:t>
      </w:r>
      <w:r>
        <w:rPr>
          <w:rFonts w:hint="eastAsia" w:ascii="宋体" w:hAnsi="宋体" w:eastAsia="宋体" w:cs="宋体"/>
          <w:b w:val="0"/>
          <w:bCs w:val="0"/>
          <w:color w:val="0000FF"/>
          <w:kern w:val="2"/>
          <w:sz w:val="24"/>
          <w:szCs w:val="24"/>
          <w:lang w:val="en-US" w:eastAsia="zh-CN" w:bidi="ar-SA"/>
        </w:rPr>
        <w:t>按照经甲方同意的方案和时间表解决故障</w:t>
      </w:r>
      <w:r>
        <w:rPr>
          <w:rFonts w:hint="eastAsia" w:ascii="宋体" w:hAnsi="宋体" w:eastAsia="宋体" w:cs="宋体"/>
          <w:b w:val="0"/>
          <w:bCs w:val="0"/>
          <w:color w:val="auto"/>
          <w:kern w:val="2"/>
          <w:sz w:val="24"/>
          <w:szCs w:val="24"/>
          <w:lang w:val="en-US" w:eastAsia="zh-CN" w:bidi="ar-SA"/>
        </w:rPr>
        <w:t>。</w:t>
      </w:r>
    </w:p>
    <w:p w14:paraId="0CFBC99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5.3 在</w:t>
      </w:r>
      <w:r>
        <w:rPr>
          <w:rFonts w:hint="eastAsia" w:ascii="宋体" w:hAnsi="宋体" w:eastAsia="宋体" w:cs="宋体"/>
          <w:b w:val="0"/>
          <w:bCs w:val="0"/>
          <w:color w:val="FF0000"/>
          <w:kern w:val="2"/>
          <w:sz w:val="24"/>
          <w:szCs w:val="24"/>
          <w:lang w:val="en-US" w:eastAsia="zh-CN" w:bidi="ar-SA"/>
        </w:rPr>
        <w:t>免费</w:t>
      </w:r>
      <w:r>
        <w:rPr>
          <w:rFonts w:hint="eastAsia" w:ascii="宋体" w:hAnsi="宋体" w:eastAsia="宋体" w:cs="宋体"/>
          <w:b w:val="0"/>
          <w:bCs w:val="0"/>
          <w:color w:val="auto"/>
          <w:kern w:val="2"/>
          <w:sz w:val="24"/>
          <w:szCs w:val="24"/>
          <w:lang w:val="en-US" w:eastAsia="zh-CN" w:bidi="ar-SA"/>
        </w:rPr>
        <w:t>维保服务期限内，乙方每月进行一次客户回访，对乙方各类服务人员的服务质量进行监督；乙方客户管理中心在完成客户服务后一个月内对甲方进行回访及满意度调查等工作，并将结果纳入乙方服务人员考核体系。</w:t>
      </w:r>
    </w:p>
    <w:p w14:paraId="3E6D6A86">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36" w:firstLineChars="200"/>
        <w:jc w:val="both"/>
        <w:textAlignment w:val="auto"/>
        <w:rPr>
          <w:rFonts w:hint="eastAsia" w:ascii="宋体" w:hAnsi="宋体" w:eastAsia="宋体" w:cs="宋体"/>
          <w:color w:val="000000" w:themeColor="text1"/>
          <w:spacing w:val="-11"/>
          <w:sz w:val="24"/>
          <w:szCs w:val="24"/>
          <w:highlight w:val="none"/>
          <w:lang w:val="en-US" w:eastAsia="zh-CN"/>
          <w14:textFill>
            <w14:solidFill>
              <w14:schemeClr w14:val="tx1"/>
            </w14:solidFill>
          </w14:textFill>
        </w:rPr>
      </w:pPr>
      <w:r>
        <w:rPr>
          <w:rFonts w:hint="eastAsia" w:ascii="宋体" w:hAnsi="宋体" w:eastAsia="宋体" w:cs="宋体"/>
          <w:b w:val="0"/>
          <w:bCs w:val="0"/>
          <w:color w:val="auto"/>
          <w:spacing w:val="-11"/>
          <w:kern w:val="2"/>
          <w:sz w:val="24"/>
          <w:szCs w:val="24"/>
          <w:lang w:val="en-US" w:eastAsia="zh-CN" w:bidi="ar-SA"/>
        </w:rPr>
        <w:t>5.4 免费维保服务期限届满后，甲方依规采购软件维保服务，乙方承诺</w:t>
      </w:r>
      <w:r>
        <w:rPr>
          <w:rFonts w:hint="eastAsia" w:ascii="宋体" w:hAnsi="宋体" w:eastAsia="宋体" w:cs="宋体"/>
          <w:b w:val="0"/>
          <w:bCs w:val="0"/>
          <w:color w:val="FF0000"/>
          <w:spacing w:val="-11"/>
          <w:kern w:val="2"/>
          <w:sz w:val="24"/>
          <w:szCs w:val="24"/>
          <w:lang w:val="en-US" w:eastAsia="zh-CN" w:bidi="ar-SA"/>
        </w:rPr>
        <w:t>如成为维保服务单位，向甲方收取的</w:t>
      </w:r>
      <w:r>
        <w:rPr>
          <w:rFonts w:hint="eastAsia" w:ascii="宋体" w:hAnsi="宋体" w:eastAsia="宋体" w:cs="宋体"/>
          <w:b w:val="0"/>
          <w:bCs w:val="0"/>
          <w:color w:val="auto"/>
          <w:spacing w:val="-11"/>
          <w:kern w:val="2"/>
          <w:sz w:val="24"/>
          <w:szCs w:val="24"/>
          <w:lang w:val="en-US" w:eastAsia="zh-CN" w:bidi="ar-SA"/>
        </w:rPr>
        <w:t>年度维保费用不高于</w:t>
      </w:r>
      <w:r>
        <w:rPr>
          <w:rFonts w:hint="eastAsia" w:ascii="宋体" w:hAnsi="宋体" w:eastAsia="宋体" w:cs="宋体"/>
          <w:bCs/>
          <w:color w:val="0000FF"/>
          <w:spacing w:val="-11"/>
          <w:sz w:val="24"/>
          <w:szCs w:val="24"/>
          <w:highlight w:val="none"/>
          <w:u w:val="none"/>
          <w:lang w:val="en-US" w:eastAsia="zh-CN"/>
        </w:rPr>
        <w:t>云影像</w:t>
      </w:r>
      <w:r>
        <w:rPr>
          <w:rFonts w:hint="eastAsia" w:ascii="宋体" w:hAnsi="宋体" w:eastAsia="宋体" w:cs="宋体"/>
          <w:bCs/>
          <w:color w:val="0000FF"/>
          <w:spacing w:val="-11"/>
          <w:sz w:val="24"/>
          <w:szCs w:val="24"/>
          <w:highlight w:val="none"/>
          <w:u w:val="none"/>
        </w:rPr>
        <w:t>系统</w:t>
      </w:r>
      <w:r>
        <w:rPr>
          <w:rFonts w:hint="eastAsia" w:ascii="宋体" w:hAnsi="宋体" w:eastAsia="宋体" w:cs="宋体"/>
          <w:bCs/>
          <w:color w:val="0000FF"/>
          <w:spacing w:val="-11"/>
          <w:sz w:val="24"/>
          <w:szCs w:val="24"/>
          <w:highlight w:val="none"/>
          <w:u w:val="none"/>
          <w:lang w:val="en-US" w:eastAsia="zh-CN"/>
        </w:rPr>
        <w:t>软件金额的</w:t>
      </w:r>
      <w:r>
        <w:rPr>
          <w:rFonts w:hint="eastAsia" w:ascii="宋体" w:hAnsi="宋体" w:eastAsia="宋体" w:cs="宋体"/>
          <w:b w:val="0"/>
          <w:bCs w:val="0"/>
          <w:color w:val="auto"/>
          <w:spacing w:val="-11"/>
          <w:kern w:val="2"/>
          <w:sz w:val="24"/>
          <w:szCs w:val="24"/>
          <w:u w:val="single"/>
          <w:lang w:val="en-US" w:eastAsia="zh-CN" w:bidi="ar-SA"/>
        </w:rPr>
        <w:t xml:space="preserve"> 8 </w:t>
      </w:r>
      <w:r>
        <w:rPr>
          <w:rFonts w:hint="eastAsia" w:ascii="宋体" w:hAnsi="宋体" w:eastAsia="宋体" w:cs="宋体"/>
          <w:b w:val="0"/>
          <w:bCs w:val="0"/>
          <w:color w:val="auto"/>
          <w:spacing w:val="-11"/>
          <w:kern w:val="2"/>
          <w:sz w:val="24"/>
          <w:szCs w:val="24"/>
          <w:lang w:val="en-US" w:eastAsia="zh-CN" w:bidi="ar-SA"/>
        </w:rPr>
        <w:t>%</w:t>
      </w:r>
      <w:r>
        <w:rPr>
          <w:rFonts w:hint="eastAsia" w:ascii="宋体" w:hAnsi="宋体" w:eastAsia="宋体" w:cs="宋体"/>
          <w:b w:val="0"/>
          <w:bCs w:val="0"/>
          <w:color w:val="0000FF"/>
          <w:spacing w:val="-11"/>
          <w:kern w:val="2"/>
          <w:sz w:val="24"/>
          <w:szCs w:val="24"/>
          <w:lang w:val="en-US" w:eastAsia="zh-CN" w:bidi="ar-SA"/>
        </w:rPr>
        <w:t>即人民币</w:t>
      </w:r>
      <w:r>
        <w:rPr>
          <w:rFonts w:hint="eastAsia" w:ascii="宋体" w:hAnsi="宋体" w:eastAsia="宋体" w:cs="宋体"/>
          <w:b w:val="0"/>
          <w:bCs w:val="0"/>
          <w:color w:val="0000FF"/>
          <w:spacing w:val="-11"/>
          <w:kern w:val="2"/>
          <w:sz w:val="24"/>
          <w:szCs w:val="24"/>
          <w:u w:val="single"/>
          <w:lang w:val="en-US" w:eastAsia="zh-CN" w:bidi="ar-SA"/>
        </w:rPr>
        <w:t xml:space="preserve">    </w:t>
      </w:r>
      <w:r>
        <w:rPr>
          <w:rFonts w:hint="eastAsia" w:ascii="宋体" w:hAnsi="宋体" w:eastAsia="宋体" w:cs="宋体"/>
          <w:b w:val="0"/>
          <w:bCs w:val="0"/>
          <w:color w:val="0000FF"/>
          <w:spacing w:val="-11"/>
          <w:kern w:val="2"/>
          <w:sz w:val="24"/>
          <w:szCs w:val="24"/>
          <w:u w:val="none"/>
          <w:lang w:val="en-US" w:eastAsia="zh-CN" w:bidi="ar-SA"/>
        </w:rPr>
        <w:t>元</w:t>
      </w:r>
      <w:r>
        <w:rPr>
          <w:rFonts w:hint="eastAsia" w:ascii="宋体" w:hAnsi="宋体" w:eastAsia="宋体" w:cs="宋体"/>
          <w:b w:val="0"/>
          <w:bCs w:val="0"/>
          <w:color w:val="auto"/>
          <w:spacing w:val="-11"/>
          <w:kern w:val="2"/>
          <w:sz w:val="24"/>
          <w:szCs w:val="24"/>
          <w:lang w:val="en-US" w:eastAsia="zh-CN" w:bidi="ar-SA"/>
        </w:rPr>
        <w:t>，具体费用以后续采购项目确定的费用为准。</w:t>
      </w:r>
    </w:p>
    <w:p w14:paraId="30986CB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 xml:space="preserve">第六条 </w:t>
      </w:r>
      <w:r>
        <w:rPr>
          <w:rFonts w:hint="eastAsia" w:ascii="宋体" w:hAnsi="宋体" w:eastAsia="宋体" w:cs="宋体"/>
          <w:b/>
          <w:bCs/>
          <w:color w:val="auto"/>
          <w:sz w:val="24"/>
          <w:szCs w:val="24"/>
          <w:lang w:val="en-US" w:eastAsia="zh-CN"/>
        </w:rPr>
        <w:t>甲方其他权利和义务</w:t>
      </w:r>
    </w:p>
    <w:p w14:paraId="74244BB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6.1 为乙方履行本合同服务提供必要工作条件，包括软件运行环境和必要的硬件支持。</w:t>
      </w:r>
    </w:p>
    <w:p w14:paraId="41E5699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6.2 指定</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val="en-US" w:eastAsia="zh-CN"/>
        </w:rPr>
        <w:t>为甲方项目联系人。</w:t>
      </w:r>
    </w:p>
    <w:p w14:paraId="46450AB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6.3 有权监督乙方工作，要求乙方在接到通知后</w:t>
      </w:r>
      <w:r>
        <w:rPr>
          <w:rFonts w:hint="eastAsia" w:ascii="宋体" w:hAnsi="宋体" w:eastAsia="宋体" w:cs="宋体"/>
          <w:b w:val="0"/>
          <w:bCs w:val="0"/>
          <w:color w:val="auto"/>
          <w:sz w:val="24"/>
          <w:szCs w:val="24"/>
          <w:u w:val="single"/>
          <w:lang w:val="en-US" w:eastAsia="zh-CN"/>
        </w:rPr>
        <w:t xml:space="preserve"> 3 </w:t>
      </w:r>
      <w:r>
        <w:rPr>
          <w:rFonts w:hint="eastAsia" w:ascii="宋体" w:hAnsi="宋体" w:eastAsia="宋体" w:cs="宋体"/>
          <w:b w:val="0"/>
          <w:bCs w:val="0"/>
          <w:color w:val="auto"/>
          <w:sz w:val="24"/>
          <w:szCs w:val="24"/>
          <w:u w:val="none"/>
          <w:lang w:val="en-US" w:eastAsia="zh-CN"/>
        </w:rPr>
        <w:t>日内更换不符合质保或维保服务要求的工作人员。</w:t>
      </w:r>
    </w:p>
    <w:p w14:paraId="1DB6D07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2" w:firstLineChars="200"/>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kern w:val="2"/>
          <w:sz w:val="24"/>
          <w:szCs w:val="24"/>
          <w:lang w:val="en-US" w:eastAsia="zh-CN" w:bidi="ar-SA"/>
        </w:rPr>
        <w:t xml:space="preserve">第七条 </w:t>
      </w:r>
      <w:r>
        <w:rPr>
          <w:rFonts w:hint="eastAsia" w:ascii="宋体" w:hAnsi="宋体" w:eastAsia="宋体" w:cs="宋体"/>
          <w:b/>
          <w:bCs/>
          <w:color w:val="auto"/>
          <w:sz w:val="24"/>
          <w:szCs w:val="24"/>
          <w:u w:val="none"/>
          <w:lang w:val="en-US" w:eastAsia="zh-CN"/>
        </w:rPr>
        <w:t>乙方其他权利和义务</w:t>
      </w:r>
    </w:p>
    <w:p w14:paraId="57D8B1FC">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7.1 乙方履行本合同必须符合国家法律法规和行业技术规范要求，遵守甲方制度，确保不存在任何网络安全及其他安全隐患，否则由乙方承担全部法律责任和经济赔偿。 </w:t>
      </w:r>
    </w:p>
    <w:p w14:paraId="35812DF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7.2 乙方确保履行本合同不会引发任何知识产权纠纷，否则由乙方承担全部法律责任和经济赔偿。 </w:t>
      </w:r>
    </w:p>
    <w:p w14:paraId="540DBB53">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7.3 提供本合同全部软件的后台管理账号，供甲方管理员及职工使用。</w:t>
      </w:r>
    </w:p>
    <w:p w14:paraId="69A452AE">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7.4 乙方保证提供的系统管理软件在免费服务期内均为最新版本，且提供最新版本的升级服务，确保该软件能够正常、顺畅、安全地使用；并确保与甲方其他所需系统的数据传输，全程配合院方数据的采集、传输、分析、治理需求。</w:t>
      </w:r>
    </w:p>
    <w:p w14:paraId="0CBCA37A">
      <w:pPr>
        <w:keepNext w:val="0"/>
        <w:keepLines w:val="0"/>
        <w:pageBreakBefore w:val="0"/>
        <w:widowControl w:val="0"/>
        <w:kinsoku/>
        <w:wordWrap/>
        <w:overflowPunct/>
        <w:topLinePunct w:val="0"/>
        <w:autoSpaceDE/>
        <w:autoSpaceDN/>
        <w:bidi w:val="0"/>
        <w:adjustRightInd/>
        <w:snapToGrid/>
        <w:spacing w:line="480" w:lineRule="exact"/>
        <w:ind w:right="0" w:firstLine="480" w:firstLineChars="200"/>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z w:val="24"/>
          <w:szCs w:val="24"/>
          <w:lang w:val="en-US" w:eastAsia="zh-CN"/>
        </w:rPr>
        <w:t>7.5 指定</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）为乙方项目联系人。</w:t>
      </w:r>
    </w:p>
    <w:p w14:paraId="226A3D3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付款时间、方式</w:t>
      </w:r>
    </w:p>
    <w:p w14:paraId="723BF0D3">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甲方分二次支付费用至乙方指定收款账户：自甲方总体验收合格之日起4个月内，支付总费用的</w:t>
      </w:r>
      <w:r>
        <w:rPr>
          <w:rFonts w:hint="eastAsia" w:ascii="宋体" w:hAnsi="宋体" w:eastAsia="宋体" w:cs="宋体"/>
          <w:color w:val="auto"/>
          <w:sz w:val="24"/>
          <w:szCs w:val="24"/>
          <w:u w:val="single"/>
          <w:lang w:val="en-US" w:eastAsia="zh-CN"/>
        </w:rPr>
        <w:t xml:space="preserve"> 90% </w:t>
      </w:r>
      <w:r>
        <w:rPr>
          <w:rFonts w:hint="eastAsia" w:ascii="宋体" w:hAnsi="宋体" w:eastAsia="宋体" w:cs="宋体"/>
          <w:color w:val="auto"/>
          <w:sz w:val="24"/>
          <w:szCs w:val="24"/>
          <w:lang w:val="en-US" w:eastAsia="zh-CN"/>
        </w:rPr>
        <w:t>即人民币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元整（小写：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元）；自甲方总体验收合格满</w:t>
      </w:r>
      <w:r>
        <w:rPr>
          <w:rFonts w:hint="eastAsia" w:ascii="宋体" w:hAnsi="宋体" w:eastAsia="宋体" w:cs="宋体"/>
          <w:color w:val="auto"/>
          <w:sz w:val="24"/>
          <w:szCs w:val="24"/>
          <w:u w:val="single"/>
          <w:lang w:val="en-US" w:eastAsia="zh-CN"/>
        </w:rPr>
        <w:t xml:space="preserve"> 1 </w:t>
      </w:r>
      <w:r>
        <w:rPr>
          <w:rFonts w:hint="eastAsia" w:ascii="宋体" w:hAnsi="宋体" w:eastAsia="宋体" w:cs="宋体"/>
          <w:color w:val="auto"/>
          <w:sz w:val="24"/>
          <w:szCs w:val="24"/>
          <w:lang w:val="en-US" w:eastAsia="zh-CN"/>
        </w:rPr>
        <w:t>年后的</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个工作日内，支付总费用的</w:t>
      </w:r>
      <w:r>
        <w:rPr>
          <w:rFonts w:hint="eastAsia" w:ascii="宋体" w:hAnsi="宋体" w:eastAsia="宋体" w:cs="宋体"/>
          <w:color w:val="auto"/>
          <w:sz w:val="24"/>
          <w:szCs w:val="24"/>
          <w:u w:val="single"/>
          <w:lang w:val="en-US" w:eastAsia="zh-CN"/>
        </w:rPr>
        <w:t xml:space="preserve"> 10% </w:t>
      </w:r>
      <w:r>
        <w:rPr>
          <w:rFonts w:hint="eastAsia" w:ascii="宋体" w:hAnsi="宋体" w:eastAsia="宋体" w:cs="宋体"/>
          <w:color w:val="auto"/>
          <w:sz w:val="24"/>
          <w:szCs w:val="24"/>
          <w:lang w:val="en-US" w:eastAsia="zh-CN"/>
        </w:rPr>
        <w:t>即人民币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元整（小写：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w:t>
      </w:r>
    </w:p>
    <w:p w14:paraId="1285A4E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乙方指定收款账户为：</w:t>
      </w:r>
    </w:p>
    <w:p w14:paraId="7F4AB6E4">
      <w:pPr>
        <w:keepNext w:val="0"/>
        <w:keepLines w:val="0"/>
        <w:pageBreakBefore w:val="0"/>
        <w:widowControl w:val="0"/>
        <w:kinsoku/>
        <w:wordWrap/>
        <w:overflowPunct/>
        <w:topLinePunct w:val="0"/>
        <w:autoSpaceDE/>
        <w:autoSpaceDN/>
        <w:bidi w:val="0"/>
        <w:adjustRightInd/>
        <w:snapToGrid/>
        <w:spacing w:line="480" w:lineRule="exact"/>
        <w:ind w:left="0" w:leftChars="0" w:right="0" w:firstLine="720" w:firstLineChars="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账户名：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6847F730">
      <w:pPr>
        <w:keepNext w:val="0"/>
        <w:keepLines w:val="0"/>
        <w:pageBreakBefore w:val="0"/>
        <w:widowControl w:val="0"/>
        <w:kinsoku/>
        <w:wordWrap/>
        <w:overflowPunct/>
        <w:topLinePunct w:val="0"/>
        <w:autoSpaceDE/>
        <w:autoSpaceDN/>
        <w:bidi w:val="0"/>
        <w:adjustRightInd/>
        <w:snapToGrid/>
        <w:spacing w:line="480" w:lineRule="exact"/>
        <w:ind w:left="0" w:leftChars="0" w:right="0" w:firstLine="720" w:firstLineChars="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5CFA2F62">
      <w:pPr>
        <w:keepNext w:val="0"/>
        <w:keepLines w:val="0"/>
        <w:pageBreakBefore w:val="0"/>
        <w:widowControl w:val="0"/>
        <w:kinsoku/>
        <w:wordWrap/>
        <w:overflowPunct/>
        <w:topLinePunct w:val="0"/>
        <w:autoSpaceDE/>
        <w:autoSpaceDN/>
        <w:bidi w:val="0"/>
        <w:adjustRightInd/>
        <w:snapToGrid/>
        <w:spacing w:line="480" w:lineRule="exact"/>
        <w:ind w:left="0" w:leftChars="0" w:right="0" w:firstLine="720" w:firstLineChars="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7E3E0BCC">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8.3 乙方应在甲方首次支付前提供以乙方名义开具的全额增值税普通发票。如乙方未提供发票，甲方有权顺延付款，由此产生的全部责任均由乙方承担。 </w:t>
      </w:r>
    </w:p>
    <w:p w14:paraId="3AC2EF6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第九条 风险承担</w:t>
      </w:r>
    </w:p>
    <w:p w14:paraId="0F95D5A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9.1 乙方履行本合同过程中发生事故，包括但不限于在运输、装卸、安装及调试过程中发生事故，给甲方、乙方或第三方人身、财产造成的所有损失，均由乙方负责处理和承担全部法律责任、经济赔偿。</w:t>
      </w:r>
    </w:p>
    <w:p w14:paraId="3BBAF75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9.2 本合同货物毁损、丢失的风险自甲方在验收报告单上签字确认合格后转移给甲方，此前货物的一切风险均由乙方承担。</w:t>
      </w:r>
    </w:p>
    <w:p w14:paraId="1E29143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9.3 如甲方因乙方货物、质保服务等原因涉及纠纷、诉讼或被处以行政处罚，由乙方承担甲方因纠纷、诉讼、罚款等造成的全部经济损失。</w:t>
      </w:r>
    </w:p>
    <w:p w14:paraId="36DE8EA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第十条 廉洁条款</w:t>
      </w:r>
    </w:p>
    <w:p w14:paraId="5F53FCC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default" w:ascii="宋体" w:hAnsi="宋体" w:eastAsia="宋体" w:cs="宋体"/>
          <w:color w:val="000000" w:themeColor="text1"/>
          <w:sz w:val="24"/>
          <w:szCs w:val="24"/>
          <w:highlight w:val="none"/>
          <w:lang w:val="en-US" w:eastAsia="zh-CN"/>
          <w14:textFill>
            <w14:solidFill>
              <w14:schemeClr w14:val="tx1"/>
            </w14:solidFill>
          </w14:textFill>
        </w:rPr>
        <w:t>.1 乙方应严格遵守国家相关法律法规，涉及合同的有关业务活动必须坚持公开、公平、公正、诚信原则，不得为获取不正当利益，损害国家、集体和甲方利益。</w:t>
      </w:r>
    </w:p>
    <w:p w14:paraId="3A96F07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10</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7FACE2FA">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第十一条 保密条款</w:t>
      </w:r>
    </w:p>
    <w:p w14:paraId="273D0EF4">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 双方在磋商、签订、履行本合同过程中知晓的任何形式的信息、资料、数据（以下合称“保密信息”），双方约定如下：</w:t>
      </w:r>
    </w:p>
    <w:p w14:paraId="0C78A8CF">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1.1 未经任意一方书面同意，不得将保密信息用于任何非本合同之目的用途。</w:t>
      </w:r>
    </w:p>
    <w:p w14:paraId="6776D444">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1.2 未经任意一方书面同意，不得将保密信息透露给任何第三方。不得允许（出借、赠予、出租、转让等处理保密信息的行为皆属于“允许”）或协助未经授权的第三方使用保密信息。</w:t>
      </w:r>
    </w:p>
    <w:p w14:paraId="18169E0C">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1.3 乙方保证对甲方提供的保密信息予以妥善保存，并至少采取适用于对自己的保密信息同样的保护措施和审慎程度进行保密。</w:t>
      </w:r>
    </w:p>
    <w:p w14:paraId="0BF89F61">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1.4 乙方不得刺探与本身业务无关的甲方保密信息。</w:t>
      </w:r>
    </w:p>
    <w:p w14:paraId="0CFD273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22787857">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1.6 项目终止后，乙方应立即将甲方的保密信息全部载体归还甲方，或根据甲方的要求予以销毁，不得以任何形式保留原件或备份。</w:t>
      </w:r>
    </w:p>
    <w:p w14:paraId="55A59B74">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1.7 未经甲方书面同意许可，乙方无权将甲方现在运行的任何系统的技术信息和数据以及本协议信息等以任何方式透露给任何与合同执行无关的第三方，否则，由乙方承担由此造成的一切法律后果。</w:t>
      </w:r>
    </w:p>
    <w:p w14:paraId="7351C706">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1.8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77488CD0">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1.9 如果乙方被要求向政府部门、法院或其他有权部门提供保密信息，乙方应立即向甲方予以通报。</w:t>
      </w:r>
    </w:p>
    <w:p w14:paraId="32A2D79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1.10 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6F6757C1">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1.11 保密义务同样适用于有关未经注册或未被授予专利权的发明的文件和信息。因对本协议所指保密信息的使用而直接或间接产生的知识产权方面的权利由双方当事人协商决定其归属。</w:t>
      </w:r>
    </w:p>
    <w:p w14:paraId="11F0D25C">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1.12 涉密人员包括合同知情人、参与履行本合同的人员。</w:t>
      </w:r>
    </w:p>
    <w:p w14:paraId="71731741">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 本合同中所说“保密信息”指如下信息：</w:t>
      </w:r>
    </w:p>
    <w:p w14:paraId="4364BA90">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2.1 双方就合同订立、履行、变更等产生的研究、商讨、交流等信息。</w:t>
      </w:r>
    </w:p>
    <w:p w14:paraId="62CCE81D">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 与甲方有关为乙方知晓、保存或可能上传、交换的信息，包括但不限于如下：</w:t>
      </w:r>
    </w:p>
    <w:p w14:paraId="17D9EDA6">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2.2.1 技术信息：包括涉及甲方信息化建设中的技术信息，包括软件技术、数据、管理文件等。</w:t>
      </w:r>
    </w:p>
    <w:p w14:paraId="1561844C">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2.2.2 人事信息：包括涉及甲方的人事档案、薪酬及考核等人力资源管理信息。</w:t>
      </w:r>
    </w:p>
    <w:p w14:paraId="34696D64">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2.2.3 医院运行信息：包括涉及甲方业务运行的各种信息，医院经营方向、经营决策、定价政策以及内部掌握的合同、协议、项目方案等。</w:t>
      </w:r>
    </w:p>
    <w:p w14:paraId="56825BDD">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2.2.4 财务信息：包括涉及甲方的各项财务报表、成本及预算报告、员工工资等。</w:t>
      </w:r>
    </w:p>
    <w:p w14:paraId="66907757">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2.2.5 患者信息：包括涉及甲方门诊、住院患者的相关诊疗信息，如患者基本信息、诊疗计划、病历信息、费用信息、处方等。</w:t>
      </w:r>
    </w:p>
    <w:p w14:paraId="4B696FEF">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2.2.6 应当予以保密的商业秘密、个人隐私等信息。</w:t>
      </w:r>
    </w:p>
    <w:p w14:paraId="18CE7F3D">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3 本合同约定的保密信息为永久绝对保密，保密条款在本合同终止后仍然有效。</w:t>
      </w:r>
    </w:p>
    <w:p w14:paraId="40804108">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第十二条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3249279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12.1 甲乙双方同意，与本合同有关的任何文书，应以书面方式按照本合同约定发送，书面方式包括手机短信、微信、书面函件、电子邮件等形式。</w:t>
      </w:r>
    </w:p>
    <w:p w14:paraId="6EF1C33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12.2 双方确认的文书（包括未来可能发生的诉讼或仲裁活动中法院或仲裁机构的送达法律文书）送达地址：</w:t>
      </w:r>
    </w:p>
    <w:p w14:paraId="7B8B89A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12.2.1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湖南省娄底市娄星区长青中街51号 娄底市中心医院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董昉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15973879275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22028581@qq.com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df22028581</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06E7C19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12.2.2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DA2148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12.3 上述通知应被视为在下列时间送达：以快递或专人发送的，在收件人签收之日或拒收之日；以挂号邮件发出的，在发出之日起7个工作日；以电子邮件发出的，在电子邮件进入收件方电子邮箱服务器之日。</w:t>
      </w:r>
    </w:p>
    <w:p w14:paraId="7BD0115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12.4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44268AE">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三</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392CAD5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本合同经双方协商一致后可以变更，双方应另行签订补充协议。</w:t>
      </w:r>
    </w:p>
    <w:p w14:paraId="6A0C178C">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 出现以下情形之一的，甲方有权单方面解除合同：</w:t>
      </w:r>
    </w:p>
    <w:p w14:paraId="7991ED83">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2.1 乙方逾期</w:t>
      </w:r>
      <w:r>
        <w:rPr>
          <w:rFonts w:hint="eastAsia" w:ascii="宋体" w:hAnsi="宋体" w:eastAsia="宋体" w:cs="宋体"/>
          <w:color w:val="auto"/>
          <w:sz w:val="24"/>
          <w:szCs w:val="24"/>
          <w:u w:val="single"/>
          <w:lang w:val="en-US" w:eastAsia="zh-CN"/>
        </w:rPr>
        <w:t xml:space="preserve"> 7 </w:t>
      </w:r>
      <w:r>
        <w:rPr>
          <w:rFonts w:hint="eastAsia" w:ascii="宋体" w:hAnsi="宋体" w:eastAsia="宋体" w:cs="宋体"/>
          <w:color w:val="auto"/>
          <w:sz w:val="24"/>
          <w:szCs w:val="24"/>
          <w:lang w:val="en-US" w:eastAsia="zh-CN"/>
        </w:rPr>
        <w:t>日</w:t>
      </w:r>
      <w:r>
        <w:rPr>
          <w:rFonts w:hint="eastAsia" w:ascii="宋体" w:hAnsi="宋体" w:eastAsia="宋体" w:cs="宋体"/>
          <w:color w:val="0000FF"/>
          <w:sz w:val="24"/>
          <w:szCs w:val="24"/>
          <w:lang w:val="en-US" w:eastAsia="zh-CN"/>
        </w:rPr>
        <w:t>仍不能供货</w:t>
      </w:r>
      <w:r>
        <w:rPr>
          <w:rFonts w:hint="eastAsia" w:ascii="宋体" w:hAnsi="宋体" w:eastAsia="宋体" w:cs="宋体"/>
          <w:color w:val="auto"/>
          <w:sz w:val="24"/>
          <w:szCs w:val="24"/>
          <w:lang w:val="en-US" w:eastAsia="zh-CN"/>
        </w:rPr>
        <w:t xml:space="preserve">的； </w:t>
      </w:r>
    </w:p>
    <w:p w14:paraId="1543DE41">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2.2 乙方</w:t>
      </w:r>
      <w:r>
        <w:rPr>
          <w:rFonts w:hint="eastAsia" w:ascii="宋体" w:hAnsi="宋体" w:eastAsia="宋体" w:cs="宋体"/>
          <w:color w:val="0000FF"/>
          <w:sz w:val="24"/>
          <w:szCs w:val="24"/>
          <w:lang w:val="en-US" w:eastAsia="zh-CN"/>
        </w:rPr>
        <w:t>未能按本合同约定</w:t>
      </w:r>
      <w:r>
        <w:rPr>
          <w:rFonts w:hint="eastAsia" w:ascii="宋体" w:hAnsi="宋体" w:eastAsia="宋体" w:cs="宋体"/>
          <w:color w:val="auto"/>
          <w:sz w:val="24"/>
          <w:szCs w:val="24"/>
          <w:lang w:val="en-US" w:eastAsia="zh-CN"/>
        </w:rPr>
        <w:t xml:space="preserve">通过甲方再次验收的；     </w:t>
      </w:r>
    </w:p>
    <w:p w14:paraId="288BE730">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auto"/>
          <w:sz w:val="24"/>
          <w:szCs w:val="24"/>
          <w:lang w:val="en-US" w:eastAsia="zh-CN"/>
        </w:rPr>
        <w:t>13.2.3 在</w:t>
      </w:r>
      <w:r>
        <w:rPr>
          <w:rFonts w:hint="eastAsia" w:ascii="宋体" w:hAnsi="宋体" w:eastAsia="宋体" w:cs="宋体"/>
          <w:color w:val="FF0000"/>
          <w:sz w:val="24"/>
          <w:szCs w:val="24"/>
          <w:lang w:val="en-US" w:eastAsia="zh-CN"/>
        </w:rPr>
        <w:t>免费质保期和维保期内，乙方未按本合同约定提供硬件、软件维保服务累计达</w:t>
      </w:r>
      <w:r>
        <w:rPr>
          <w:rFonts w:hint="eastAsia" w:ascii="宋体" w:hAnsi="宋体" w:eastAsia="宋体" w:cs="宋体"/>
          <w:color w:val="FF0000"/>
          <w:sz w:val="24"/>
          <w:szCs w:val="24"/>
          <w:u w:val="single"/>
          <w:lang w:val="en-US" w:eastAsia="zh-CN"/>
        </w:rPr>
        <w:t xml:space="preserve"> </w:t>
      </w:r>
      <w:r>
        <w:rPr>
          <w:rFonts w:hint="eastAsia" w:ascii="宋体" w:hAnsi="宋体" w:eastAsia="宋体" w:cs="宋体"/>
          <w:color w:val="0000FF"/>
          <w:sz w:val="24"/>
          <w:szCs w:val="24"/>
          <w:u w:val="single"/>
          <w:lang w:val="en-US" w:eastAsia="zh-CN"/>
        </w:rPr>
        <w:t>5</w:t>
      </w:r>
      <w:r>
        <w:rPr>
          <w:rFonts w:hint="eastAsia" w:ascii="宋体" w:hAnsi="宋体" w:eastAsia="宋体" w:cs="宋体"/>
          <w:color w:val="FF0000"/>
          <w:sz w:val="24"/>
          <w:szCs w:val="24"/>
          <w:u w:val="single"/>
          <w:lang w:val="en-US" w:eastAsia="zh-CN"/>
        </w:rPr>
        <w:t xml:space="preserve"> </w:t>
      </w:r>
      <w:r>
        <w:rPr>
          <w:rFonts w:hint="eastAsia" w:ascii="宋体" w:hAnsi="宋体" w:eastAsia="宋体" w:cs="宋体"/>
          <w:color w:val="FF0000"/>
          <w:sz w:val="24"/>
          <w:szCs w:val="24"/>
          <w:lang w:val="en-US" w:eastAsia="zh-CN"/>
        </w:rPr>
        <w:t>次以上时；</w:t>
      </w:r>
    </w:p>
    <w:p w14:paraId="10FE6C5E">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0000FF"/>
          <w:sz w:val="24"/>
          <w:szCs w:val="24"/>
          <w:lang w:val="en-US" w:eastAsia="zh-CN"/>
        </w:rPr>
        <w:t>13.2.4 乙方提供的产品质量不符合国家标准、本合同标准或投标文件/响应文件约定标准；</w:t>
      </w:r>
      <w:r>
        <w:rPr>
          <w:rFonts w:hint="eastAsia" w:ascii="宋体" w:hAnsi="宋体" w:eastAsia="宋体" w:cs="宋体"/>
          <w:color w:val="FF0000"/>
          <w:sz w:val="24"/>
          <w:szCs w:val="24"/>
          <w:lang w:val="en-US" w:eastAsia="zh-CN"/>
        </w:rPr>
        <w:t xml:space="preserve"> </w:t>
      </w:r>
      <w:r>
        <w:rPr>
          <w:rFonts w:hint="eastAsia" w:ascii="宋体" w:hAnsi="宋体" w:eastAsia="宋体" w:cs="宋体"/>
          <w:color w:val="auto"/>
          <w:sz w:val="24"/>
          <w:szCs w:val="24"/>
          <w:lang w:val="en-US" w:eastAsia="zh-CN"/>
        </w:rPr>
        <w:t xml:space="preserve">                                                                                                                                                                                                                                                                                                                                                                                                                                                                                                                                                                                                                                                                                                                                                                                                                                                                                                                                                                                                                                                                                                                                                                                                                                                                                                                                                                                                                                                                                                                                                                                                                                                                                                                                                                                                                                                                                                                                                                                                                                                                                                                                                                                                                                                                                                                                                                                                                                                                                                                                                                                           </w:t>
      </w:r>
    </w:p>
    <w:p w14:paraId="5AAA57A8">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2.5 乙方转包或分包给第三方的；</w:t>
      </w:r>
    </w:p>
    <w:p w14:paraId="08AD1A50">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2.6 乙方违反保密条款或侵犯第三人的知识产权及其他合法权利，给甲方造成损失或不良影响的；</w:t>
      </w:r>
    </w:p>
    <w:p w14:paraId="6B8D87B2">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2.7 其他根本违约的情形。</w:t>
      </w:r>
    </w:p>
    <w:p w14:paraId="7C1C81B8">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违约责任</w:t>
      </w:r>
    </w:p>
    <w:p w14:paraId="54F95BC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FF"/>
          <w:sz w:val="24"/>
          <w:highlight w:val="none"/>
        </w:rPr>
        <w:t>如乙方未在本合同约定时间内</w:t>
      </w:r>
      <w:r>
        <w:rPr>
          <w:rFonts w:hint="eastAsia" w:ascii="宋体" w:hAnsi="宋体" w:eastAsia="宋体" w:cs="宋体"/>
          <w:color w:val="0000FF"/>
          <w:sz w:val="24"/>
          <w:highlight w:val="none"/>
          <w:lang w:val="en-US" w:eastAsia="zh-CN"/>
        </w:rPr>
        <w:t>通过甲方总体验收或在免维期、质保期内未在本合同约定时间内完成服务的</w:t>
      </w:r>
      <w:r>
        <w:rPr>
          <w:rFonts w:hint="eastAsia" w:ascii="宋体" w:hAnsi="宋体" w:eastAsia="宋体" w:cs="宋体"/>
          <w:color w:val="auto"/>
          <w:sz w:val="24"/>
          <w:szCs w:val="24"/>
          <w:lang w:val="en-US" w:eastAsia="zh-CN"/>
        </w:rPr>
        <w:t>，</w:t>
      </w:r>
      <w:r>
        <w:rPr>
          <w:rFonts w:hint="eastAsia" w:ascii="宋体" w:hAnsi="宋体" w:eastAsia="宋体" w:cs="宋体"/>
          <w:color w:val="000000" w:themeColor="text1"/>
          <w:sz w:val="24"/>
          <w:highlight w:val="none"/>
          <w14:textFill>
            <w14:solidFill>
              <w14:schemeClr w14:val="tx1"/>
            </w14:solidFill>
          </w14:textFill>
        </w:rPr>
        <w:t>除应赔偿甲方因此造成的损失外，</w:t>
      </w:r>
      <w:r>
        <w:rPr>
          <w:rFonts w:hint="eastAsia" w:ascii="宋体" w:hAnsi="宋体" w:eastAsia="宋体" w:cs="宋体"/>
          <w:color w:val="000000" w:themeColor="text1"/>
          <w:sz w:val="24"/>
          <w:highlight w:val="none"/>
          <w:lang w:val="en-US" w:eastAsia="zh-CN"/>
          <w14:textFill>
            <w14:solidFill>
              <w14:schemeClr w14:val="tx1"/>
            </w14:solidFill>
          </w14:textFill>
        </w:rPr>
        <w:t>每逾期一日</w:t>
      </w:r>
      <w:r>
        <w:rPr>
          <w:rFonts w:hint="eastAsia" w:ascii="宋体" w:hAnsi="宋体" w:eastAsia="宋体" w:cs="宋体"/>
          <w:color w:val="auto"/>
          <w:sz w:val="24"/>
          <w:szCs w:val="24"/>
          <w:lang w:val="en-US" w:eastAsia="zh-CN"/>
        </w:rPr>
        <w:t>，</w:t>
      </w:r>
      <w:r>
        <w:rPr>
          <w:rFonts w:hint="eastAsia" w:ascii="宋体" w:hAnsi="宋体" w:eastAsia="宋体" w:cs="宋体"/>
          <w:color w:val="000000" w:themeColor="text1"/>
          <w:sz w:val="24"/>
          <w:highlight w:val="none"/>
          <w14:textFill>
            <w14:solidFill>
              <w14:schemeClr w14:val="tx1"/>
            </w14:solidFill>
          </w14:textFill>
        </w:rPr>
        <w:t>按</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035CFCA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 xml:space="preserve">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13.2情形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2FD6EA7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14.3 无论甲方在任意时候（不限于本合同履行期间）发现存在违反本合同廉洁条款的行为，乙方均须向甲方一次性支付惩罚性违约金</w:t>
      </w:r>
      <w:r>
        <w:rPr>
          <w:rFonts w:hint="eastAsia" w:ascii="宋体" w:hAnsi="宋体" w:eastAsia="宋体" w:cs="宋体"/>
          <w:b/>
          <w:bCs/>
          <w:color w:val="0000FF"/>
          <w:sz w:val="24"/>
          <w:szCs w:val="24"/>
          <w:highlight w:val="none"/>
          <w:u w:val="single"/>
          <w:lang w:val="en-US" w:eastAsia="zh-CN"/>
        </w:rPr>
        <w:t>80000.00</w:t>
      </w: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元。如乙方除需承担违反廉洁条款的违约责任外，同时存在其他违约行为，乙方仍须就其他违约行为承担相应违约责任。</w:t>
      </w:r>
    </w:p>
    <w:p w14:paraId="77E84318">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14.4 依据本合同约定乙方应支付给甲方的违约金，甲方有权在应支付给乙方的任意价款中直接予以扣除，如扣除部分不足，乙方应在接到甲方通知后3日内补足。</w:t>
      </w:r>
    </w:p>
    <w:p w14:paraId="7AFBA375">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十五</w:t>
      </w:r>
      <w:r>
        <w:rPr>
          <w:rFonts w:hint="eastAsia" w:ascii="宋体" w:hAnsi="宋体" w:eastAsia="宋体" w:cs="宋体"/>
          <w:b/>
          <w:bCs/>
          <w:color w:val="000000" w:themeColor="text1"/>
          <w:sz w:val="24"/>
          <w:highlight w:val="none"/>
          <w14:textFill>
            <w14:solidFill>
              <w14:schemeClr w14:val="tx1"/>
            </w14:solidFill>
          </w14:textFill>
        </w:rPr>
        <w:t>条 争议解决</w:t>
      </w:r>
    </w:p>
    <w:p w14:paraId="3AB3ACE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15.1 本合同适用中华人民共和国法律，并按其解释。</w:t>
      </w:r>
    </w:p>
    <w:p w14:paraId="64C7AD9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15.2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4855C0B9">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六</w:t>
      </w:r>
      <w:r>
        <w:rPr>
          <w:rFonts w:hint="eastAsia" w:ascii="宋体" w:hAnsi="宋体" w:eastAsia="宋体" w:cs="宋体"/>
          <w:b/>
          <w:bCs/>
          <w:color w:val="000000" w:themeColor="text1"/>
          <w:sz w:val="24"/>
          <w:highlight w:val="none"/>
          <w14:textFill>
            <w14:solidFill>
              <w14:schemeClr w14:val="tx1"/>
            </w14:solidFill>
          </w14:textFill>
        </w:rPr>
        <w:t>条 附则</w:t>
      </w:r>
    </w:p>
    <w:p w14:paraId="0B67B39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6.1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2A463F4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16.2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712DC8E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6.3</w:t>
      </w:r>
      <w:r>
        <w:rPr>
          <w:rFonts w:hint="eastAsia" w:ascii="宋体" w:hAnsi="宋体" w:eastAsia="宋体" w:cs="宋体"/>
          <w:color w:val="000000" w:themeColor="text1"/>
          <w:sz w:val="24"/>
          <w:highlight w:val="none"/>
          <w14:textFill>
            <w14:solidFill>
              <w14:schemeClr w14:val="tx1"/>
            </w14:solidFill>
          </w14:textFill>
        </w:rPr>
        <w:t xml:space="preserve"> 本合同一式</w:t>
      </w:r>
      <w:r>
        <w:rPr>
          <w:rFonts w:hint="eastAsia" w:ascii="宋体" w:hAnsi="宋体" w:eastAsia="宋体" w:cs="宋体"/>
          <w:color w:val="000000" w:themeColor="text1"/>
          <w:sz w:val="24"/>
          <w:highlight w:val="none"/>
          <w:u w:val="single"/>
          <w14:textFill>
            <w14:solidFill>
              <w14:schemeClr w14:val="tx1"/>
            </w14:solidFill>
          </w14:textFill>
        </w:rPr>
        <w:t>伍</w:t>
      </w:r>
      <w:r>
        <w:rPr>
          <w:rFonts w:hint="eastAsia" w:ascii="宋体" w:hAnsi="宋体" w:eastAsia="宋体" w:cs="宋体"/>
          <w:color w:val="000000" w:themeColor="text1"/>
          <w:sz w:val="24"/>
          <w:highlight w:val="none"/>
          <w14:textFill>
            <w14:solidFill>
              <w14:schemeClr w14:val="tx1"/>
            </w14:solidFill>
          </w14:textFill>
        </w:rPr>
        <w:t>份，甲方执</w:t>
      </w:r>
      <w:r>
        <w:rPr>
          <w:rFonts w:hint="eastAsia" w:ascii="宋体" w:hAnsi="宋体" w:eastAsia="宋体" w:cs="宋体"/>
          <w:color w:val="000000" w:themeColor="text1"/>
          <w:sz w:val="24"/>
          <w:highlight w:val="none"/>
          <w:u w:val="single"/>
          <w14:textFill>
            <w14:solidFill>
              <w14:schemeClr w14:val="tx1"/>
            </w14:solidFill>
          </w14:textFill>
        </w:rPr>
        <w:t>肆</w:t>
      </w:r>
      <w:r>
        <w:rPr>
          <w:rFonts w:hint="eastAsia" w:ascii="宋体" w:hAnsi="宋体" w:eastAsia="宋体" w:cs="宋体"/>
          <w:color w:val="000000" w:themeColor="text1"/>
          <w:sz w:val="24"/>
          <w:highlight w:val="none"/>
          <w14:textFill>
            <w14:solidFill>
              <w14:schemeClr w14:val="tx1"/>
            </w14:solidFill>
          </w14:textFill>
        </w:rPr>
        <w:t>份、乙方执</w:t>
      </w:r>
      <w:r>
        <w:rPr>
          <w:rFonts w:hint="eastAsia" w:ascii="宋体" w:hAnsi="宋体" w:eastAsia="宋体" w:cs="宋体"/>
          <w:color w:val="000000" w:themeColor="text1"/>
          <w:sz w:val="24"/>
          <w:highlight w:val="none"/>
          <w:u w:val="single"/>
          <w14:textFill>
            <w14:solidFill>
              <w14:schemeClr w14:val="tx1"/>
            </w14:solidFill>
          </w14:textFill>
        </w:rPr>
        <w:t>壹</w:t>
      </w:r>
      <w:r>
        <w:rPr>
          <w:rFonts w:hint="eastAsia" w:ascii="宋体" w:hAnsi="宋体" w:eastAsia="宋体" w:cs="宋体"/>
          <w:color w:val="000000" w:themeColor="text1"/>
          <w:sz w:val="24"/>
          <w:highlight w:val="none"/>
          <w14:textFill>
            <w14:solidFill>
              <w14:schemeClr w14:val="tx1"/>
            </w14:solidFill>
          </w14:textFill>
        </w:rPr>
        <w:t>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41C335F8">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617DEFF8">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1E5DC53D">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5C05C8D3">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310752FF">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p>
    <w:p w14:paraId="79FB8294">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54985695">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110D860C">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74BCDFAD">
      <w:pPr>
        <w:pStyle w:val="6"/>
        <w:rPr>
          <w:rFonts w:ascii="宋体" w:hAnsi="宋体" w:eastAsia="宋体" w:cs="宋体"/>
          <w:color w:val="000000" w:themeColor="text1"/>
          <w:sz w:val="24"/>
          <w:highlight w:val="none"/>
          <w14:textFill>
            <w14:solidFill>
              <w14:schemeClr w14:val="tx1"/>
            </w14:solidFill>
          </w14:textFill>
        </w:rPr>
      </w:pPr>
    </w:p>
    <w:p w14:paraId="4A657056">
      <w:pPr>
        <w:pStyle w:val="6"/>
        <w:rPr>
          <w:rFonts w:ascii="宋体" w:hAnsi="宋体" w:eastAsia="宋体" w:cs="宋体"/>
          <w:color w:val="000000" w:themeColor="text1"/>
          <w:sz w:val="24"/>
          <w:highlight w:val="none"/>
          <w14:textFill>
            <w14:solidFill>
              <w14:schemeClr w14:val="tx1"/>
            </w14:solidFill>
          </w14:textFill>
        </w:rPr>
      </w:pPr>
    </w:p>
    <w:p w14:paraId="071A49A4">
      <w:pPr>
        <w:pStyle w:val="6"/>
        <w:rPr>
          <w:rFonts w:ascii="宋体" w:hAnsi="宋体" w:eastAsia="宋体" w:cs="宋体"/>
          <w:color w:val="000000" w:themeColor="text1"/>
          <w:sz w:val="24"/>
          <w:highlight w:val="none"/>
          <w14:textFill>
            <w14:solidFill>
              <w14:schemeClr w14:val="tx1"/>
            </w14:solidFill>
          </w14:textFill>
        </w:rPr>
      </w:pPr>
    </w:p>
    <w:p w14:paraId="4E781A5E">
      <w:pPr>
        <w:pStyle w:val="6"/>
        <w:rPr>
          <w:rFonts w:ascii="宋体" w:hAnsi="宋体" w:eastAsia="宋体" w:cs="宋体"/>
          <w:color w:val="000000" w:themeColor="text1"/>
          <w:sz w:val="24"/>
          <w:highlight w:val="none"/>
          <w14:textFill>
            <w14:solidFill>
              <w14:schemeClr w14:val="tx1"/>
            </w14:solidFill>
          </w14:textFill>
        </w:rPr>
      </w:pPr>
    </w:p>
    <w:p w14:paraId="61C79DEF">
      <w:pPr>
        <w:pStyle w:val="6"/>
        <w:rPr>
          <w:rFonts w:ascii="宋体" w:hAnsi="宋体" w:eastAsia="宋体" w:cs="宋体"/>
          <w:color w:val="000000" w:themeColor="text1"/>
          <w:sz w:val="24"/>
          <w:highlight w:val="none"/>
          <w14:textFill>
            <w14:solidFill>
              <w14:schemeClr w14:val="tx1"/>
            </w14:solidFill>
          </w14:textFill>
        </w:rPr>
      </w:pPr>
    </w:p>
    <w:p w14:paraId="71858D7E">
      <w:pPr>
        <w:pStyle w:val="6"/>
        <w:rPr>
          <w:rFonts w:ascii="宋体" w:hAnsi="宋体" w:eastAsia="宋体" w:cs="宋体"/>
          <w:color w:val="000000" w:themeColor="text1"/>
          <w:sz w:val="24"/>
          <w:highlight w:val="none"/>
          <w14:textFill>
            <w14:solidFill>
              <w14:schemeClr w14:val="tx1"/>
            </w14:solidFill>
          </w14:textFill>
        </w:rPr>
      </w:pPr>
    </w:p>
    <w:p w14:paraId="2A070FF3">
      <w:pPr>
        <w:pStyle w:val="6"/>
        <w:rPr>
          <w:rFonts w:ascii="宋体" w:hAnsi="宋体" w:eastAsia="宋体" w:cs="宋体"/>
          <w:color w:val="000000" w:themeColor="text1"/>
          <w:sz w:val="24"/>
          <w:highlight w:val="none"/>
          <w14:textFill>
            <w14:solidFill>
              <w14:schemeClr w14:val="tx1"/>
            </w14:solidFill>
          </w14:textFill>
        </w:rPr>
      </w:pPr>
    </w:p>
    <w:p w14:paraId="1A40BE85">
      <w:pPr>
        <w:pStyle w:val="6"/>
        <w:rPr>
          <w:rFonts w:ascii="宋体" w:hAnsi="宋体" w:eastAsia="宋体" w:cs="宋体"/>
          <w:color w:val="000000" w:themeColor="text1"/>
          <w:sz w:val="24"/>
          <w:highlight w:val="none"/>
          <w14:textFill>
            <w14:solidFill>
              <w14:schemeClr w14:val="tx1"/>
            </w14:solidFill>
          </w14:textFill>
        </w:rPr>
      </w:pPr>
    </w:p>
    <w:p w14:paraId="22126B4C">
      <w:pPr>
        <w:pStyle w:val="6"/>
        <w:rPr>
          <w:rFonts w:ascii="宋体" w:hAnsi="宋体" w:eastAsia="宋体" w:cs="宋体"/>
          <w:color w:val="000000" w:themeColor="text1"/>
          <w:sz w:val="24"/>
          <w:highlight w:val="none"/>
          <w14:textFill>
            <w14:solidFill>
              <w14:schemeClr w14:val="tx1"/>
            </w14:solidFill>
          </w14:textFill>
        </w:rPr>
      </w:pPr>
    </w:p>
    <w:p w14:paraId="472EFB4C">
      <w:pPr>
        <w:pStyle w:val="6"/>
        <w:ind w:left="0" w:leftChars="0" w:firstLine="0" w:firstLineChars="0"/>
        <w:rPr>
          <w:rFonts w:hint="eastAsia" w:ascii="黑体" w:hAnsi="黑体" w:eastAsia="黑体" w:cs="黑体"/>
          <w:color w:val="000000" w:themeColor="text1"/>
          <w:sz w:val="32"/>
          <w:szCs w:val="32"/>
          <w:highlight w:val="none"/>
          <w:lang w:val="en-US" w:eastAsia="zh-CN"/>
          <w14:textFill>
            <w14:solidFill>
              <w14:schemeClr w14:val="tx1"/>
            </w14:solidFill>
          </w14:textFill>
        </w:rPr>
      </w:pPr>
    </w:p>
    <w:p w14:paraId="4F5993ED">
      <w:pPr>
        <w:pStyle w:val="6"/>
        <w:rPr>
          <w:rFonts w:ascii="宋体" w:hAnsi="宋体" w:eastAsia="宋体" w:cs="宋体"/>
          <w:color w:val="000000" w:themeColor="text1"/>
          <w:sz w:val="24"/>
          <w:highlight w:val="none"/>
          <w14:textFill>
            <w14:solidFill>
              <w14:schemeClr w14:val="tx1"/>
            </w14:solidFill>
          </w14:textFill>
        </w:rPr>
      </w:pPr>
    </w:p>
    <w:p w14:paraId="7E063109">
      <w:pPr>
        <w:pStyle w:val="6"/>
        <w:rPr>
          <w:rFonts w:ascii="宋体" w:hAnsi="宋体" w:eastAsia="宋体" w:cs="宋体"/>
          <w:color w:val="000000" w:themeColor="text1"/>
          <w:sz w:val="24"/>
          <w:highlight w:val="none"/>
          <w14:textFill>
            <w14:solidFill>
              <w14:schemeClr w14:val="tx1"/>
            </w14:solidFill>
          </w14:textFill>
        </w:rPr>
      </w:pPr>
    </w:p>
    <w:p w14:paraId="0559824B">
      <w:pPr>
        <w:pStyle w:val="6"/>
        <w:rPr>
          <w:rFonts w:ascii="宋体" w:hAnsi="宋体" w:eastAsia="宋体" w:cs="宋体"/>
          <w:color w:val="000000" w:themeColor="text1"/>
          <w:sz w:val="24"/>
          <w:highlight w:val="none"/>
          <w14:textFill>
            <w14:solidFill>
              <w14:schemeClr w14:val="tx1"/>
            </w14:solidFill>
          </w14:textFill>
        </w:rPr>
      </w:pPr>
    </w:p>
    <w:p w14:paraId="58F6F71A">
      <w:pPr>
        <w:pStyle w:val="6"/>
        <w:rPr>
          <w:rFonts w:ascii="宋体" w:hAnsi="宋体" w:eastAsia="宋体" w:cs="宋体"/>
          <w:color w:val="000000" w:themeColor="text1"/>
          <w:sz w:val="24"/>
          <w:highlight w:val="none"/>
          <w14:textFill>
            <w14:solidFill>
              <w14:schemeClr w14:val="tx1"/>
            </w14:solidFill>
          </w14:textFill>
        </w:rPr>
      </w:pPr>
    </w:p>
    <w:p w14:paraId="5700AF8B">
      <w:pPr>
        <w:pStyle w:val="6"/>
        <w:rPr>
          <w:rFonts w:ascii="宋体" w:hAnsi="宋体" w:eastAsia="宋体" w:cs="宋体"/>
          <w:color w:val="000000" w:themeColor="text1"/>
          <w:sz w:val="24"/>
          <w:highlight w:val="none"/>
          <w14:textFill>
            <w14:solidFill>
              <w14:schemeClr w14:val="tx1"/>
            </w14:solidFill>
          </w14:textFill>
        </w:rPr>
      </w:pPr>
    </w:p>
    <w:p w14:paraId="12A910DC">
      <w:pPr>
        <w:pStyle w:val="6"/>
        <w:rPr>
          <w:rFonts w:ascii="宋体" w:hAnsi="宋体" w:eastAsia="宋体" w:cs="宋体"/>
          <w:color w:val="000000" w:themeColor="text1"/>
          <w:sz w:val="24"/>
          <w:highlight w:val="none"/>
          <w14:textFill>
            <w14:solidFill>
              <w14:schemeClr w14:val="tx1"/>
            </w14:solidFill>
          </w14:textFill>
        </w:rPr>
      </w:pPr>
    </w:p>
    <w:p w14:paraId="007787C3">
      <w:pPr>
        <w:pStyle w:val="6"/>
        <w:ind w:left="0" w:leftChars="0" w:firstLine="0" w:firstLineChars="0"/>
        <w:rPr>
          <w:rFonts w:hint="eastAsia" w:ascii="黑体" w:hAnsi="黑体" w:eastAsia="黑体" w:cs="黑体"/>
          <w:color w:val="000000" w:themeColor="text1"/>
          <w:sz w:val="32"/>
          <w:szCs w:val="32"/>
          <w:highlight w:val="none"/>
          <w:lang w:val="en-US" w:eastAsia="zh-CN"/>
          <w14:textFill>
            <w14:solidFill>
              <w14:schemeClr w14:val="tx1"/>
            </w14:solidFill>
          </w14:textFill>
        </w:rPr>
      </w:pPr>
    </w:p>
    <w:p w14:paraId="78F9490D">
      <w:pPr>
        <w:pStyle w:val="3"/>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3"/>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3"/>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5"/>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6"/>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5"/>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right="113" w:firstLine="480" w:firstLineChars="2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6"/>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5"/>
        <w:rPr>
          <w:rFonts w:hint="eastAsia" w:ascii="仿宋" w:hAnsi="仿宋" w:eastAsia="仿宋" w:cs="仿宋"/>
          <w:color w:val="auto"/>
          <w:sz w:val="24"/>
          <w:szCs w:val="24"/>
        </w:rPr>
      </w:pPr>
    </w:p>
    <w:p w14:paraId="359A2A68">
      <w:pPr>
        <w:pStyle w:val="16"/>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 w14:paraId="0D2C97ED"/>
    <w:p w14:paraId="5121895B"/>
    <w:p w14:paraId="6F696858"/>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C209A4"/>
    <w:multiLevelType w:val="singleLevel"/>
    <w:tmpl w:val="B0C209A4"/>
    <w:lvl w:ilvl="0" w:tentative="0">
      <w:start w:val="1"/>
      <w:numFmt w:val="decimal"/>
      <w:suff w:val="nothing"/>
      <w:lvlText w:val="%1、"/>
      <w:lvlJc w:val="left"/>
      <w:rPr>
        <w:rFonts w:hint="default"/>
        <w:b/>
        <w:bCs/>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4209C6"/>
    <w:rsid w:val="271B6211"/>
    <w:rsid w:val="3DD96453"/>
    <w:rsid w:val="47464362"/>
    <w:rsid w:val="5459617D"/>
    <w:rsid w:val="59E118FA"/>
    <w:rsid w:val="62420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0"/>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Body Text"/>
    <w:basedOn w:val="1"/>
    <w:qFormat/>
    <w:uiPriority w:val="0"/>
    <w:pPr>
      <w:overflowPunct w:val="0"/>
      <w:autoSpaceDE w:val="0"/>
      <w:autoSpaceDN w:val="0"/>
      <w:adjustRightInd w:val="0"/>
      <w:spacing w:before="120" w:after="120"/>
      <w:ind w:left="2520"/>
      <w:jc w:val="left"/>
      <w:textAlignment w:val="baseline"/>
    </w:pPr>
    <w:rPr>
      <w:rFonts w:ascii="宋体" w:hAnsi="Times New Roman"/>
      <w:kern w:val="0"/>
      <w:sz w:val="24"/>
      <w:szCs w:val="20"/>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character" w:styleId="12">
    <w:name w:val="page number"/>
    <w:qFormat/>
    <w:uiPriority w:val="0"/>
    <w:rPr>
      <w:rFonts w:ascii="Times New Roman" w:hAnsi="Times New Roman" w:eastAsia="宋体" w:cs="Times New Roman"/>
    </w:rPr>
  </w:style>
  <w:style w:type="paragraph" w:customStyle="1" w:styleId="13">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4">
    <w:name w:val="List Paragraph"/>
    <w:basedOn w:val="1"/>
    <w:unhideWhenUsed/>
    <w:qFormat/>
    <w:uiPriority w:val="99"/>
    <w:pPr>
      <w:ind w:firstLine="420" w:firstLineChars="200"/>
    </w:pPr>
  </w:style>
  <w:style w:type="paragraph" w:customStyle="1" w:styleId="15">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7"/>
    <w:next w:val="1"/>
    <w:autoRedefine/>
    <w:qFormat/>
    <w:uiPriority w:val="99"/>
    <w:pPr>
      <w:ind w:firstLine="420" w:firstLineChars="200"/>
    </w:pPr>
  </w:style>
  <w:style w:type="paragraph" w:customStyle="1" w:styleId="17">
    <w:name w:val="正文_4"/>
    <w:next w:val="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正文文本_4"/>
    <w:basedOn w:val="17"/>
    <w:qFormat/>
    <w:uiPriority w:val="0"/>
    <w:pPr>
      <w:spacing w:after="1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2789</Words>
  <Characters>2902</Characters>
  <Lines>0</Lines>
  <Paragraphs>0</Paragraphs>
  <TotalTime>2</TotalTime>
  <ScaleCrop>false</ScaleCrop>
  <LinksUpToDate>false</LinksUpToDate>
  <CharactersWithSpaces>2955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2025-11-20T09:20:00Z</dcterms:created>
  <dc:creator>是小豹子</dc:creator>
  <cp:lastModifiedBy>是小豹子</cp:lastModifiedBy>
  <dcterms:modified xsi:type="dcterms:W3CDTF">2025-12-08T09:24:52Z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A804469EBE1F4721905E0DDE376A6121_11</vt:lpwstr>
  </property>
  <property fmtid="{D5CDD505-2E9C-101B-9397-08002B2CF9AE}" pid="4" name="KSOTemplateDocerSaveRecord">
    <vt:lpwstr>eyJoZGlkIjoiMjI0YzkyZjA4NDE5ZWViZGEyZTVjOTNhYTg4ZmYzYTciLCJ1c2VySWQiOiIzMDQ3NTQ4MDUifQ==</vt:lpwstr>
  </property>
</Properties>
</file>