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6"/>
        <w:snapToGrid w:val="0"/>
        <w:jc w:val="center"/>
        <w:rPr>
          <w:rFonts w:hint="eastAsia" w:ascii="Arial" w:hAnsi="Arial" w:eastAsia="方正小标宋简体" w:cs="Arial"/>
          <w:color w:val="auto"/>
          <w:sz w:val="72"/>
          <w:szCs w:val="72"/>
          <w:lang w:eastAsia="zh-CN"/>
        </w:rPr>
      </w:pPr>
      <w:bookmarkStart w:id="0" w:name="_Toc16523570"/>
    </w:p>
    <w:p w14:paraId="0668E363">
      <w:pPr>
        <w:pStyle w:val="6"/>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6"/>
        <w:snapToGrid w:val="0"/>
        <w:jc w:val="center"/>
        <w:rPr>
          <w:rFonts w:ascii="Arial" w:hAnsi="Arial" w:eastAsia="方正小标宋简体" w:cs="Arial"/>
          <w:color w:val="auto"/>
          <w:sz w:val="72"/>
          <w:szCs w:val="72"/>
        </w:rPr>
      </w:pPr>
    </w:p>
    <w:p w14:paraId="7A4A9D78">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6"/>
        <w:snapToGrid w:val="0"/>
        <w:jc w:val="center"/>
        <w:rPr>
          <w:rFonts w:ascii="Arial" w:hAnsi="Arial" w:eastAsia="方正小标宋简体" w:cs="Arial"/>
          <w:color w:val="auto"/>
          <w:sz w:val="72"/>
          <w:szCs w:val="72"/>
        </w:rPr>
      </w:pPr>
    </w:p>
    <w:p w14:paraId="6B19A57A">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6"/>
        <w:snapToGrid w:val="0"/>
        <w:jc w:val="center"/>
        <w:rPr>
          <w:rFonts w:ascii="Arial" w:hAnsi="Arial" w:eastAsia="方正小标宋简体" w:cs="Arial"/>
          <w:color w:val="auto"/>
          <w:sz w:val="72"/>
          <w:szCs w:val="72"/>
        </w:rPr>
      </w:pPr>
    </w:p>
    <w:p w14:paraId="71C742D0">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6"/>
        <w:snapToGrid w:val="0"/>
        <w:jc w:val="center"/>
        <w:rPr>
          <w:rFonts w:ascii="Arial" w:hAnsi="Arial" w:eastAsia="方正小标宋简体" w:cs="Arial"/>
          <w:color w:val="auto"/>
          <w:sz w:val="72"/>
          <w:szCs w:val="72"/>
        </w:rPr>
      </w:pPr>
    </w:p>
    <w:p w14:paraId="175D2234">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6"/>
        <w:snapToGrid w:val="0"/>
        <w:jc w:val="center"/>
        <w:rPr>
          <w:rFonts w:ascii="Arial" w:hAnsi="Arial" w:cs="Arial"/>
          <w:color w:val="auto"/>
          <w:sz w:val="32"/>
          <w:szCs w:val="32"/>
        </w:rPr>
      </w:pPr>
    </w:p>
    <w:p w14:paraId="6BDB84BC">
      <w:pPr>
        <w:pStyle w:val="6"/>
        <w:snapToGrid w:val="0"/>
        <w:jc w:val="center"/>
        <w:rPr>
          <w:rFonts w:ascii="Arial" w:hAnsi="Arial" w:cs="Arial"/>
          <w:color w:val="auto"/>
          <w:sz w:val="32"/>
          <w:szCs w:val="32"/>
        </w:rPr>
      </w:pPr>
    </w:p>
    <w:p w14:paraId="45537E0A">
      <w:pPr>
        <w:pStyle w:val="6"/>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娄底市中心医院百胜彩超维保服务项目招标文件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6"/>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百胜彩超维保服务</w:t>
      </w:r>
      <w:r>
        <w:rPr>
          <w:rFonts w:hint="eastAsia" w:ascii="仿宋" w:hAnsi="仿宋" w:eastAsia="仿宋" w:cs="仿宋"/>
          <w:bCs/>
          <w:color w:val="auto"/>
          <w:sz w:val="24"/>
          <w:szCs w:val="24"/>
          <w:lang w:val="en-US" w:eastAsia="zh-CN"/>
        </w:rPr>
        <w:t>项目进行院内挂网招标，将招标事项公告如下：</w:t>
      </w:r>
    </w:p>
    <w:p w14:paraId="3697D011">
      <w:pPr>
        <w:pStyle w:val="6"/>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6"/>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百胜彩超维保服务</w:t>
      </w:r>
      <w:r>
        <w:rPr>
          <w:rFonts w:hint="eastAsia" w:ascii="仿宋" w:hAnsi="仿宋" w:eastAsia="仿宋" w:cs="仿宋"/>
          <w:b w:val="0"/>
          <w:bCs/>
          <w:color w:val="auto"/>
          <w:sz w:val="24"/>
          <w:szCs w:val="24"/>
          <w:lang w:val="en-US" w:eastAsia="zh-CN"/>
        </w:rPr>
        <w:t>项目</w:t>
      </w:r>
    </w:p>
    <w:p w14:paraId="008C2037">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BD7B6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1、开标时间：2025年12月17日10:30；</w:t>
      </w:r>
    </w:p>
    <w:p w14:paraId="521D39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bookmarkStart w:id="4" w:name="_GoBack"/>
      <w:bookmarkEnd w:id="4"/>
    </w:p>
    <w:p w14:paraId="104F438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6"/>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3"/>
        <w:tblW w:w="73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服务期限</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aps w:val="0"/>
                <w:color w:val="000000"/>
                <w:spacing w:val="0"/>
                <w:sz w:val="28"/>
                <w:szCs w:val="28"/>
                <w:shd w:val="clear" w:fill="FFFFFF"/>
                <w:lang w:eastAsia="zh-CN"/>
              </w:rPr>
              <w:t>百胜彩超维保服务</w:t>
            </w:r>
            <w:r>
              <w:rPr>
                <w:rFonts w:ascii="仿宋" w:hAnsi="仿宋" w:eastAsia="仿宋" w:cs="仿宋"/>
                <w:i w:val="0"/>
                <w:iCs w:val="0"/>
                <w:caps w:val="0"/>
                <w:color w:val="000000"/>
                <w:spacing w:val="0"/>
                <w:sz w:val="28"/>
                <w:szCs w:val="28"/>
                <w:shd w:val="clear" w:fill="FFFFFF"/>
              </w:rPr>
              <w:t>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3年</w:t>
            </w: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69F5058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1、维保服务类型：百胜彩超 型号：MylabTwice,整机全保服务；三年内更换原厂全新探头3把（CA541/LA523/PA240/EC1123/LA332E五把中的任意三把）、键盘板、系统盘。</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2、维保服务范围：</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中标人提供维保设备的硬件常规维修保养、系统软件维保和升级，免费更换维保设备的所有零部件、备件（不限量）。</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3、维保服务要求：</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3.1中标人向采购人提供备品备件储备管理及配送方案、整体维保服务方案、年度维保报告。维保服务期限3年，按合同约定日计算，承诺在服务期内不进行转包。</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3.2每合同年度为采购人提供365天×24小时免费客服专用电话。中标人自接到采购人通知时起0.5小时内响应，提供突发性问题的解决措施及特殊紧急的合理化处理措施，协助采购人人员及时诊断故障解决问题。如遇通过电话等远程方式不能解决故障的情况：非设备停机类的故障，中标人应在接到采购人通知时起24小时内到达现场，如遇设备停机，中标人应在接到采购人通知时起12小时内到达现场。非设备停机类的故障，中标人应在接到采购人通知时起48小时内修复到位并保证设备正常运行；如遇设备停机，中标人应在接到采购人通知时起72小时内修复故障并保证设备正常运行。</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3.3中标人每年提供不限次数的人工上门维修服务；提供每合同年度至少4次的定期维护保养，每3个月进行一次，定期的维护保养服务项目包括但不限于：设备的机械安全检查、电气安全检查、机械安全检查、影像质量检查、设备除尘保养、运行状态检查等，保养中需要更换的损耗品由中标人免费提供，保养后应对维保设备进行深度清洁；提供每合同年度至少1次的设备质控检测，每12个月进行一次。</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3.4中标人负责维保设备的安全检查，包括制定检查计划、机械安全检查、电器安全检查、记录检查结果等。</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3.5中标人负责维保设备的质量检查，包括检查图像质量（效果）、评判参数结果、调整/校准至原厂家质量标准、记录设备质量报告等。</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3.6中标人负责为采购人工作人员提供免费设备规范使用培训。</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3.7 维保设备年检时，中标人负责协助并保证设备的全部监测指标达标，通过相关部门检测，取得合格证。</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3.8 确保每合同年度维保设备开机率大于95%，即每合同年度维保设备开机天数不少于346.5天，停机天数不超过18.5天。如开机率未达到95%，停机时间每增加1天，维保服务期限顺延5天。</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3.9每次维保时应做好故障维修及保养事件记录，并到采购人设备使用部门备案登记，维保后应向采购人提交设备维修服务工单及符合原厂标准的维修、保养报告单及质控报告等，并由采购人医疗设备维修中心和设备使用科室在服务工单上共同签字确认。 中标人在维保期内维护保养的次数与内容、更换维修零部件、备件的数目以甲、乙双方共同核对服务工作单为准，相关文件交采购人存档。</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3.10中标人中标后需要提供针对本项目的原厂授权书或售后服务承诺书，确保零部件及服务符合原厂标准。</w:t>
      </w:r>
    </w:p>
    <w:p w14:paraId="01EAEF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40C31FB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397ED8D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住院部B超百胜彩超维保服务合同</w:t>
      </w:r>
    </w:p>
    <w:p w14:paraId="4FBA298D">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0C12F7F0">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15D57D5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24FA651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506D9BE8">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28C1645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联系人：刘子文</w:t>
      </w:r>
    </w:p>
    <w:p w14:paraId="31A544B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联系电话：13762299668</w:t>
      </w:r>
    </w:p>
    <w:p w14:paraId="5CD24588">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433E36C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B77D1A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455EF3A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46E6DB61">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034DBB9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6609E702">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AD24B9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cs="宋体"/>
          <w:color w:val="000000" w:themeColor="text1"/>
          <w:sz w:val="24"/>
          <w:szCs w:val="24"/>
          <w:highlight w:val="none"/>
          <w:u w:val="none"/>
          <w:lang w:val="en-US" w:eastAsia="zh-CN"/>
          <w14:textFill>
            <w14:solidFill>
              <w14:schemeClr w14:val="tx1"/>
            </w14:solidFill>
          </w14:textFill>
        </w:rPr>
        <w:t>院内公开挂网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百胜彩超 </w:t>
      </w:r>
      <w:r>
        <w:rPr>
          <w:rFonts w:hint="eastAsia" w:asciiTheme="minorEastAsia" w:hAnsiTheme="minorEastAsia" w:cstheme="minorEastAsia"/>
          <w:color w:val="000000" w:themeColor="text1"/>
          <w:kern w:val="2"/>
          <w:sz w:val="24"/>
          <w:szCs w:val="24"/>
          <w:u w:val="single"/>
          <w:lang w:val="en-US" w:eastAsia="zh-CN" w:bidi="ar-SA"/>
          <w14:textFill>
            <w14:solidFill>
              <w14:schemeClr w14:val="tx1"/>
            </w14:solidFill>
          </w14:textFill>
        </w:rPr>
        <w:t>（</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型号：MylabTwice</w:t>
      </w:r>
      <w:r>
        <w:rPr>
          <w:rFonts w:hint="eastAsia" w:asciiTheme="minorEastAsia" w:hAnsiTheme="minorEastAsia" w:cstheme="minorEastAsia"/>
          <w:color w:val="000000" w:themeColor="text1"/>
          <w:kern w:val="2"/>
          <w:sz w:val="24"/>
          <w:szCs w:val="24"/>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维保服务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百胜彩超 </w:t>
      </w:r>
      <w:r>
        <w:rPr>
          <w:rFonts w:hint="eastAsia" w:asciiTheme="minorEastAsia" w:hAnsiTheme="minorEastAsia" w:cstheme="minorEastAsia"/>
          <w:color w:val="000000" w:themeColor="text1"/>
          <w:kern w:val="2"/>
          <w:sz w:val="24"/>
          <w:szCs w:val="24"/>
          <w:u w:val="single"/>
          <w:lang w:val="en-US" w:eastAsia="zh-CN" w:bidi="ar-SA"/>
          <w14:textFill>
            <w14:solidFill>
              <w14:schemeClr w14:val="tx1"/>
            </w14:solidFill>
          </w14:textFill>
        </w:rPr>
        <w:t>（</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型号：MylabTwice</w:t>
      </w:r>
      <w:r>
        <w:rPr>
          <w:rFonts w:hint="eastAsia" w:asciiTheme="minorEastAsia" w:hAnsiTheme="minorEastAsia" w:cstheme="minorEastAsia"/>
          <w:color w:val="000000" w:themeColor="text1"/>
          <w:kern w:val="2"/>
          <w:sz w:val="24"/>
          <w:szCs w:val="24"/>
          <w:u w:val="single"/>
          <w:lang w:val="en-US" w:eastAsia="zh-CN" w:bidi="ar-SA"/>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维保服务</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1324775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第一条 服务内容</w:t>
      </w:r>
    </w:p>
    <w:p w14:paraId="3FCB2306">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1.1 维保设备信息：</w:t>
      </w:r>
    </w:p>
    <w:tbl>
      <w:tblPr>
        <w:tblStyle w:val="14"/>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9"/>
        <w:gridCol w:w="2171"/>
        <w:gridCol w:w="2059"/>
        <w:gridCol w:w="2545"/>
      </w:tblGrid>
      <w:tr w14:paraId="06D6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8" w:type="dxa"/>
            <w:vAlign w:val="center"/>
          </w:tcPr>
          <w:p w14:paraId="2F23DA96">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jc w:val="center"/>
              <w:textAlignment w:val="auto"/>
              <w:rPr>
                <w:rFonts w:hint="eastAsia" w:asciiTheme="minorEastAsia" w:hAnsiTheme="minorEastAsia" w:eastAsiaTheme="minorEastAsia" w:cstheme="minorEastAsia"/>
                <w:b/>
                <w:bCs w:val="0"/>
                <w:color w:val="000000" w:themeColor="text1"/>
                <w:kern w:val="2"/>
                <w:sz w:val="24"/>
                <w:szCs w:val="24"/>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4"/>
                <w:szCs w:val="24"/>
                <w:lang w:val="en-US" w:eastAsia="zh-CN" w:bidi="ar-SA"/>
                <w14:textFill>
                  <w14:solidFill>
                    <w14:schemeClr w14:val="tx1"/>
                  </w14:solidFill>
                </w14:textFill>
              </w:rPr>
              <w:t>设备名称</w:t>
            </w:r>
          </w:p>
        </w:tc>
        <w:tc>
          <w:tcPr>
            <w:tcW w:w="2046" w:type="dxa"/>
            <w:vAlign w:val="center"/>
          </w:tcPr>
          <w:p w14:paraId="7352B567">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ind w:firstLine="482" w:firstLineChars="200"/>
              <w:jc w:val="both"/>
              <w:textAlignment w:val="auto"/>
              <w:rPr>
                <w:rFonts w:hint="eastAsia" w:asciiTheme="minorEastAsia" w:hAnsiTheme="minorEastAsia" w:eastAsiaTheme="minorEastAsia" w:cstheme="minorEastAsia"/>
                <w:b/>
                <w:bCs w:val="0"/>
                <w:color w:val="000000" w:themeColor="text1"/>
                <w:kern w:val="2"/>
                <w:sz w:val="24"/>
                <w:szCs w:val="24"/>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4"/>
                <w:szCs w:val="24"/>
                <w:lang w:val="en-US" w:eastAsia="zh-CN" w:bidi="ar-SA"/>
                <w14:textFill>
                  <w14:solidFill>
                    <w14:schemeClr w14:val="tx1"/>
                  </w14:solidFill>
                </w14:textFill>
              </w:rPr>
              <w:t>型号</w:t>
            </w:r>
          </w:p>
        </w:tc>
        <w:tc>
          <w:tcPr>
            <w:tcW w:w="1940" w:type="dxa"/>
            <w:vAlign w:val="center"/>
          </w:tcPr>
          <w:p w14:paraId="0C9A6F38">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ind w:firstLine="482" w:firstLineChars="200"/>
              <w:jc w:val="both"/>
              <w:textAlignment w:val="auto"/>
              <w:rPr>
                <w:rFonts w:hint="eastAsia" w:asciiTheme="minorEastAsia" w:hAnsiTheme="minorEastAsia" w:eastAsiaTheme="minorEastAsia" w:cstheme="minorEastAsia"/>
                <w:b/>
                <w:bCs w:val="0"/>
                <w:color w:val="000000" w:themeColor="text1"/>
                <w:kern w:val="2"/>
                <w:sz w:val="24"/>
                <w:szCs w:val="24"/>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4"/>
                <w:szCs w:val="24"/>
                <w:lang w:val="en-US" w:eastAsia="zh-CN" w:bidi="ar-SA"/>
                <w14:textFill>
                  <w14:solidFill>
                    <w14:schemeClr w14:val="tx1"/>
                  </w14:solidFill>
                </w14:textFill>
              </w:rPr>
              <w:t>品牌</w:t>
            </w:r>
          </w:p>
        </w:tc>
        <w:tc>
          <w:tcPr>
            <w:tcW w:w="2398" w:type="dxa"/>
            <w:vAlign w:val="center"/>
          </w:tcPr>
          <w:p w14:paraId="6C2FAF5D">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jc w:val="center"/>
              <w:textAlignment w:val="auto"/>
              <w:rPr>
                <w:rFonts w:hint="eastAsia" w:asciiTheme="minorEastAsia" w:hAnsiTheme="minorEastAsia" w:eastAsiaTheme="minorEastAsia" w:cstheme="minorEastAsia"/>
                <w:b/>
                <w:bCs w:val="0"/>
                <w:color w:val="000000" w:themeColor="text1"/>
                <w:kern w:val="2"/>
                <w:sz w:val="24"/>
                <w:szCs w:val="24"/>
                <w14:textFill>
                  <w14:solidFill>
                    <w14:schemeClr w14:val="tx1"/>
                  </w14:solidFill>
                </w14:textFill>
              </w:rPr>
            </w:pPr>
            <w:r>
              <w:rPr>
                <w:rFonts w:hint="eastAsia" w:asciiTheme="minorEastAsia" w:hAnsiTheme="minorEastAsia" w:eastAsiaTheme="minorEastAsia" w:cstheme="minorEastAsia"/>
                <w:b/>
                <w:bCs w:val="0"/>
                <w:color w:val="000000" w:themeColor="text1"/>
                <w:kern w:val="2"/>
                <w:sz w:val="24"/>
                <w:szCs w:val="24"/>
                <w:lang w:val="en-US" w:eastAsia="zh-CN" w:bidi="ar-SA"/>
                <w14:textFill>
                  <w14:solidFill>
                    <w14:schemeClr w14:val="tx1"/>
                  </w14:solidFill>
                </w14:textFill>
              </w:rPr>
              <w:t>设备号/序列号</w:t>
            </w:r>
          </w:p>
        </w:tc>
      </w:tr>
      <w:tr w14:paraId="5F65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8" w:type="dxa"/>
            <w:vAlign w:val="center"/>
          </w:tcPr>
          <w:p w14:paraId="6A17DD34">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ind w:firstLine="960" w:firstLineChars="400"/>
              <w:jc w:val="both"/>
              <w:textAlignment w:val="auto"/>
              <w:rPr>
                <w:rFonts w:hint="default" w:asciiTheme="minorEastAsia" w:hAnsiTheme="minorEastAsia" w:eastAsiaTheme="minorEastAsia" w:cstheme="minorEastAsia"/>
                <w:bCs/>
                <w:color w:val="000000" w:themeColor="text1"/>
                <w:kern w:val="2"/>
                <w:sz w:val="24"/>
                <w:szCs w:val="24"/>
                <w:lang w:val="en-US"/>
                <w14:textFill>
                  <w14:solidFill>
                    <w14:schemeClr w14:val="tx1"/>
                  </w14:solidFill>
                </w14:textFill>
              </w:rPr>
            </w:pPr>
            <w:r>
              <w:rPr>
                <w:rFonts w:hint="eastAsia" w:asciiTheme="minorEastAsia" w:hAnsiTheme="minorEastAsia" w:eastAsiaTheme="minorEastAsia" w:cstheme="minorEastAsia"/>
                <w:bCs/>
                <w:color w:val="000000" w:themeColor="text1"/>
                <w:kern w:val="2"/>
                <w:sz w:val="24"/>
                <w:szCs w:val="24"/>
                <w:lang w:val="en-US" w:eastAsia="zh-CN" w:bidi="ar-SA"/>
                <w14:textFill>
                  <w14:solidFill>
                    <w14:schemeClr w14:val="tx1"/>
                  </w14:solidFill>
                </w14:textFill>
              </w:rPr>
              <w:t>百胜彩超</w:t>
            </w:r>
          </w:p>
        </w:tc>
        <w:tc>
          <w:tcPr>
            <w:tcW w:w="2046" w:type="dxa"/>
            <w:vAlign w:val="center"/>
          </w:tcPr>
          <w:p w14:paraId="4EAC582B">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ind w:firstLine="480" w:firstLineChars="200"/>
              <w:jc w:val="both"/>
              <w:textAlignment w:val="auto"/>
              <w:rPr>
                <w:rFonts w:hint="default" w:asciiTheme="minorEastAsia" w:hAnsiTheme="minorEastAsia" w:eastAsiaTheme="minorEastAsia" w:cstheme="minorEastAsia"/>
                <w:bCs/>
                <w:color w:val="000000" w:themeColor="text1"/>
                <w:kern w:val="2"/>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MylabTwice</w:t>
            </w:r>
          </w:p>
        </w:tc>
        <w:tc>
          <w:tcPr>
            <w:tcW w:w="1940" w:type="dxa"/>
            <w:vAlign w:val="center"/>
          </w:tcPr>
          <w:p w14:paraId="53F80461">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jc w:val="center"/>
              <w:textAlignment w:val="auto"/>
              <w:rPr>
                <w:rFonts w:hint="default" w:asciiTheme="minorEastAsia" w:hAnsiTheme="minorEastAsia" w:eastAsiaTheme="minorEastAsia" w:cstheme="minorEastAsia"/>
                <w:bCs/>
                <w:color w:val="000000" w:themeColor="text1"/>
                <w:kern w:val="2"/>
                <w:sz w:val="24"/>
                <w:szCs w:val="24"/>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kern w:val="2"/>
                <w:sz w:val="24"/>
                <w:szCs w:val="24"/>
                <w:lang w:val="en-US" w:eastAsia="zh-CN"/>
                <w14:textFill>
                  <w14:solidFill>
                    <w14:schemeClr w14:val="tx1"/>
                  </w14:solidFill>
                </w14:textFill>
              </w:rPr>
              <w:t>百胜</w:t>
            </w:r>
          </w:p>
        </w:tc>
        <w:tc>
          <w:tcPr>
            <w:tcW w:w="2398" w:type="dxa"/>
            <w:vAlign w:val="center"/>
          </w:tcPr>
          <w:p w14:paraId="75625036">
            <w:pPr>
              <w:pStyle w:val="19"/>
              <w:keepNext w:val="0"/>
              <w:keepLines w:val="0"/>
              <w:pageBreakBefore w:val="0"/>
              <w:widowControl w:val="0"/>
              <w:suppressAutoHyphens w:val="0"/>
              <w:kinsoku/>
              <w:wordWrap/>
              <w:overflowPunct/>
              <w:topLinePunct w:val="0"/>
              <w:autoSpaceDE/>
              <w:autoSpaceDN/>
              <w:bidi w:val="0"/>
              <w:adjustRightInd/>
              <w:snapToGrid/>
              <w:spacing w:beforeLines="0" w:beforeAutospacing="0" w:afterLines="0" w:afterAutospacing="0" w:line="500" w:lineRule="exact"/>
              <w:jc w:val="center"/>
              <w:textAlignment w:val="auto"/>
              <w:rPr>
                <w:rFonts w:hint="default" w:asciiTheme="minorEastAsia" w:hAnsiTheme="minorEastAsia" w:eastAsiaTheme="minorEastAsia" w:cstheme="minorEastAsia"/>
                <w:bCs/>
                <w:color w:val="000000" w:themeColor="text1"/>
                <w:kern w:val="2"/>
                <w:sz w:val="24"/>
                <w:szCs w:val="24"/>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kern w:val="2"/>
                <w:sz w:val="24"/>
                <w:szCs w:val="24"/>
                <w:lang w:val="en-US" w:eastAsia="zh-CN"/>
                <w14:textFill>
                  <w14:solidFill>
                    <w14:schemeClr w14:val="tx1"/>
                  </w14:solidFill>
                </w14:textFill>
              </w:rPr>
              <w:t>QE-3B001817</w:t>
            </w:r>
          </w:p>
        </w:tc>
      </w:tr>
    </w:tbl>
    <w:p w14:paraId="06C07130">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default"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1.2 维保服务类型：整机全保服务；三年内更换3把原装新探头。</w:t>
      </w:r>
    </w:p>
    <w:p w14:paraId="6364236F">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1.3 维保服务范围：</w:t>
      </w:r>
    </w:p>
    <w:p w14:paraId="017463E4">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乙方提供维保设备的硬件常规维修保养、系统软件维保和升级，免费更换维保设备的所有零部件、备件（不限量）。</w:t>
      </w:r>
    </w:p>
    <w:p w14:paraId="3DC8C20C">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2" w:firstLineChars="200"/>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1.4 维保服务要求：</w:t>
      </w:r>
    </w:p>
    <w:p w14:paraId="3B3B83C0">
      <w:pPr>
        <w:pStyle w:val="16"/>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1.4.1 </w:t>
      </w:r>
      <w:r>
        <w:rPr>
          <w:rFonts w:hint="eastAsia" w:ascii="宋体" w:hAnsi="宋体" w:cs="宋体"/>
          <w:color w:val="000000" w:themeColor="text1"/>
          <w:sz w:val="24"/>
          <w:lang w:val="en-US" w:eastAsia="zh-CN"/>
          <w14:textFill>
            <w14:solidFill>
              <w14:schemeClr w14:val="tx1"/>
            </w14:solidFill>
          </w14:textFill>
        </w:rPr>
        <w:t>乙方向甲方提供</w:t>
      </w:r>
      <w:r>
        <w:rPr>
          <w:rFonts w:hint="eastAsia" w:asciiTheme="minorEastAsia" w:hAnsiTheme="minorEastAsia" w:eastAsiaTheme="minorEastAsia" w:cstheme="minorEastAsia"/>
          <w:color w:val="000000" w:themeColor="text1"/>
          <w:sz w:val="24"/>
          <w:szCs w:val="24"/>
          <w14:textFill>
            <w14:solidFill>
              <w14:schemeClr w14:val="tx1"/>
            </w14:solidFill>
          </w14:textFill>
        </w:rPr>
        <w:t>备品备件储备管理及配送方案</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整体维保服务方案、</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年度维保报告。</w:t>
      </w:r>
    </w:p>
    <w:p w14:paraId="5EC1B540">
      <w:pPr>
        <w:pStyle w:val="16"/>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1.4.2 </w:t>
      </w:r>
      <w:r>
        <w:rPr>
          <w:rFonts w:hint="eastAsia" w:cs="宋体"/>
          <w:color w:val="000000" w:themeColor="text1"/>
          <w:kern w:val="2"/>
          <w:sz w:val="24"/>
          <w:szCs w:val="24"/>
          <w:highlight w:val="none"/>
          <w:lang w:val="en-US" w:eastAsia="zh-CN" w:bidi="ar-SA"/>
          <w14:textFill>
            <w14:solidFill>
              <w14:schemeClr w14:val="tx1"/>
            </w14:solidFill>
          </w14:textFill>
        </w:rPr>
        <w:t>每合同年度为甲方提供365天×24小时免费客服专用电话（联系电话</w:t>
      </w:r>
      <w:r>
        <w:rPr>
          <w:rFonts w:hint="eastAsia" w:cs="宋体"/>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cs="宋体"/>
          <w:color w:val="000000" w:themeColor="text1"/>
          <w:kern w:val="2"/>
          <w:sz w:val="24"/>
          <w:szCs w:val="24"/>
          <w:highlight w:val="none"/>
          <w:lang w:val="en-US" w:eastAsia="zh-CN" w:bidi="ar-SA"/>
          <w14:textFill>
            <w14:solidFill>
              <w14:schemeClr w14:val="tx1"/>
            </w14:solidFill>
          </w14:textFill>
        </w:rPr>
        <w:t>）。乙方自接到甲方通知时起0.5小时内响应，</w:t>
      </w:r>
      <w:r>
        <w:rPr>
          <w:rFonts w:hint="eastAsia" w:asciiTheme="minorEastAsia" w:hAnsiTheme="minorEastAsia" w:eastAsiaTheme="minorEastAsia" w:cstheme="minorEastAsia"/>
          <w:color w:val="000000" w:themeColor="text1"/>
          <w:sz w:val="24"/>
          <w:szCs w:val="24"/>
          <w14:textFill>
            <w14:solidFill>
              <w14:schemeClr w14:val="tx1"/>
            </w14:solidFill>
          </w14:textFill>
        </w:rPr>
        <w:t>提供突发性问题的解决措施及特殊紧急的合理化处理措施</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cs="宋体"/>
          <w:color w:val="000000" w:themeColor="text1"/>
          <w:kern w:val="2"/>
          <w:sz w:val="24"/>
          <w:szCs w:val="24"/>
          <w:highlight w:val="none"/>
          <w:lang w:val="en-US" w:eastAsia="zh-CN" w:bidi="ar-SA"/>
          <w14:textFill>
            <w14:solidFill>
              <w14:schemeClr w14:val="tx1"/>
            </w14:solidFill>
          </w14:textFill>
        </w:rPr>
        <w:t>协助甲方人员及时诊断故障解决问题。如遇通过电话等远程方式不能解决故障的情况：非设备停机类的故障，乙方应在接到甲方通知时起24小时内到达现场，如遇设备停机，乙方应在接到甲方通知时起12小时内到达现场。非设备停机类的故障，乙方应在接到甲方通知时起48小时内修复到位并保证设备正常运行；如遇设备停机，乙方应在接到甲方通知时起72小时内修复故障并保证设备正常运行。</w:t>
      </w:r>
    </w:p>
    <w:p w14:paraId="080B9A08">
      <w:pPr>
        <w:pStyle w:val="16"/>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1.4.3 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每年提供不限次数的人工上门维修服务；提供每</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cstheme="minorEastAsia"/>
          <w:color w:val="000000" w:themeColor="text1"/>
          <w:sz w:val="24"/>
          <w:szCs w:val="24"/>
          <w:lang w:val="en-US" w:eastAsia="zh-CN"/>
          <w14:textFill>
            <w14:solidFill>
              <w14:schemeClr w14:val="tx1"/>
            </w14:solidFill>
          </w14:textFill>
        </w:rPr>
        <w:t>度</w:t>
      </w:r>
      <w:r>
        <w:rPr>
          <w:rFonts w:hint="eastAsia" w:asciiTheme="minorEastAsia" w:hAnsiTheme="minorEastAsia" w:eastAsiaTheme="minorEastAsia" w:cstheme="minorEastAsia"/>
          <w:color w:val="000000" w:themeColor="text1"/>
          <w:sz w:val="24"/>
          <w:szCs w:val="24"/>
          <w14:textFill>
            <w14:solidFill>
              <w14:schemeClr w14:val="tx1"/>
            </w14:solidFill>
          </w14:textFill>
        </w:rPr>
        <w:t>至少</w:t>
      </w:r>
      <w:r>
        <w:rPr>
          <w:rFonts w:hint="eastAsia" w:asciiTheme="minorEastAsia" w:hAnsi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次的定期维护保养</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每3个月进行一次</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定期的维护保养服务项目包括但不限于：设备的机械安全检查、电气安全检查、</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机械安全检查、</w:t>
      </w:r>
      <w:r>
        <w:rPr>
          <w:rFonts w:hint="eastAsia" w:asciiTheme="minorEastAsia" w:hAnsiTheme="minorEastAsia" w:eastAsiaTheme="minorEastAsia" w:cstheme="minorEastAsia"/>
          <w:color w:val="000000" w:themeColor="text1"/>
          <w:sz w:val="24"/>
          <w:szCs w:val="24"/>
          <w14:textFill>
            <w14:solidFill>
              <w14:schemeClr w14:val="tx1"/>
            </w14:solidFill>
          </w14:textFill>
        </w:rPr>
        <w:t>影像质量检查、设备除尘保养、运行状态检查等，保养中需要更换的损耗品由</w:t>
      </w:r>
      <w:r>
        <w:rPr>
          <w:rFonts w:hint="eastAsia" w:asciiTheme="minorEastAsia" w:hAnsiTheme="minorEastAsia" w:cstheme="minorEastAsia"/>
          <w:color w:val="000000" w:themeColor="text1"/>
          <w:sz w:val="24"/>
          <w:szCs w:val="24"/>
          <w:lang w:val="en-US" w:eastAsia="zh-CN"/>
          <w14:textFill>
            <w14:solidFill>
              <w14:schemeClr w14:val="tx1"/>
            </w14:solidFill>
          </w14:textFill>
        </w:rPr>
        <w:t>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免费提供</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保养后应对维保设备进行深度清洁；</w:t>
      </w:r>
      <w:r>
        <w:rPr>
          <w:rFonts w:hint="eastAsia" w:asciiTheme="minorEastAsia" w:hAnsiTheme="minorEastAsia" w:eastAsiaTheme="minorEastAsia" w:cstheme="minorEastAsia"/>
          <w:color w:val="000000" w:themeColor="text1"/>
          <w:sz w:val="24"/>
          <w:szCs w:val="24"/>
          <w14:textFill>
            <w14:solidFill>
              <w14:schemeClr w14:val="tx1"/>
            </w14:solidFill>
          </w14:textFill>
        </w:rPr>
        <w:t>提供每</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cstheme="minorEastAsia"/>
          <w:color w:val="000000" w:themeColor="text1"/>
          <w:sz w:val="24"/>
          <w:szCs w:val="24"/>
          <w:lang w:val="en-US" w:eastAsia="zh-CN"/>
          <w14:textFill>
            <w14:solidFill>
              <w14:schemeClr w14:val="tx1"/>
            </w14:solidFill>
          </w14:textFill>
        </w:rPr>
        <w:t>度</w:t>
      </w:r>
      <w:r>
        <w:rPr>
          <w:rFonts w:hint="eastAsia" w:asciiTheme="minorEastAsia" w:hAnsiTheme="minorEastAsia" w:eastAsiaTheme="minorEastAsia" w:cstheme="minorEastAsia"/>
          <w:color w:val="000000" w:themeColor="text1"/>
          <w:sz w:val="24"/>
          <w:szCs w:val="24"/>
          <w14:textFill>
            <w14:solidFill>
              <w14:schemeClr w14:val="tx1"/>
            </w14:solidFill>
          </w14:textFill>
        </w:rPr>
        <w:t>至少</w:t>
      </w:r>
      <w:r>
        <w:rPr>
          <w:rFonts w:hint="eastAsia" w:asciiTheme="minorEastAsia" w:hAnsiTheme="minorEastAsia" w:cstheme="minorEastAsia"/>
          <w:color w:val="000000" w:themeColor="text1"/>
          <w:sz w:val="24"/>
          <w:szCs w:val="24"/>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次的设备质控检测</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每12个月进行一次。</w:t>
      </w:r>
    </w:p>
    <w:p w14:paraId="48055B6F">
      <w:pPr>
        <w:pStyle w:val="7"/>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cs="宋体"/>
          <w:color w:val="000000" w:themeColor="text1"/>
          <w:kern w:val="2"/>
          <w:sz w:val="24"/>
          <w:szCs w:val="24"/>
          <w:highlight w:val="none"/>
          <w:lang w:val="en-US" w:eastAsia="zh-CN" w:bidi="ar-SA"/>
          <w14:textFill>
            <w14:solidFill>
              <w14:schemeClr w14:val="tx1"/>
            </w14:solidFill>
          </w14:textFill>
        </w:rPr>
        <w:t>1.4</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cs="宋体"/>
          <w:color w:val="000000" w:themeColor="text1"/>
          <w:kern w:val="2"/>
          <w:sz w:val="24"/>
          <w:szCs w:val="24"/>
          <w:highlight w:val="none"/>
          <w:lang w:val="en-US" w:eastAsia="zh-CN" w:bidi="ar-SA"/>
          <w14:textFill>
            <w14:solidFill>
              <w14:schemeClr w14:val="tx1"/>
            </w14:solidFill>
          </w14:textFill>
        </w:rPr>
        <w:t>4</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 </w:t>
      </w:r>
      <w:r>
        <w:rPr>
          <w:rFonts w:hint="eastAsia" w:cs="宋体"/>
          <w:color w:val="000000" w:themeColor="text1"/>
          <w:kern w:val="2"/>
          <w:sz w:val="24"/>
          <w:szCs w:val="24"/>
          <w:highlight w:val="none"/>
          <w:lang w:val="en-US" w:eastAsia="zh-CN" w:bidi="ar-SA"/>
          <w14:textFill>
            <w14:solidFill>
              <w14:schemeClr w14:val="tx1"/>
            </w14:solidFill>
          </w14:textFill>
        </w:rPr>
        <w:t>乙方负责维保设备的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安全检查</w:t>
      </w:r>
      <w:r>
        <w:rPr>
          <w:rFonts w:hint="eastAsia" w:cs="宋体"/>
          <w:color w:val="000000" w:themeColor="text1"/>
          <w:kern w:val="2"/>
          <w:sz w:val="24"/>
          <w:szCs w:val="24"/>
          <w:highlight w:val="none"/>
          <w:lang w:val="en-US" w:eastAsia="zh-CN" w:bidi="ar-SA"/>
          <w14:textFill>
            <w14:solidFill>
              <w14:schemeClr w14:val="tx1"/>
            </w14:solidFill>
          </w14:textFill>
        </w:rPr>
        <w:t>，包括</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制定检查计划、机械安全检查、电器安全检查、记录检查结果</w:t>
      </w:r>
      <w:r>
        <w:rPr>
          <w:rFonts w:hint="eastAsia" w:cs="宋体"/>
          <w:color w:val="000000" w:themeColor="text1"/>
          <w:kern w:val="2"/>
          <w:sz w:val="24"/>
          <w:szCs w:val="24"/>
          <w:highlight w:val="none"/>
          <w:lang w:val="en-US" w:eastAsia="zh-CN" w:bidi="ar-SA"/>
          <w14:textFill>
            <w14:solidFill>
              <w14:schemeClr w14:val="tx1"/>
            </w14:solidFill>
          </w14:textFill>
        </w:rPr>
        <w:t>等。</w:t>
      </w:r>
    </w:p>
    <w:p w14:paraId="712885A9">
      <w:pPr>
        <w:pStyle w:val="7"/>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cs="宋体"/>
          <w:color w:val="000000" w:themeColor="text1"/>
          <w:kern w:val="2"/>
          <w:sz w:val="24"/>
          <w:szCs w:val="24"/>
          <w:highlight w:val="none"/>
          <w:lang w:val="en-US" w:eastAsia="zh-CN" w:bidi="ar-SA"/>
          <w14:textFill>
            <w14:solidFill>
              <w14:schemeClr w14:val="tx1"/>
            </w14:solidFill>
          </w14:textFill>
        </w:rPr>
      </w:pPr>
      <w:r>
        <w:rPr>
          <w:rFonts w:hint="eastAsia" w:cs="宋体"/>
          <w:color w:val="000000" w:themeColor="text1"/>
          <w:kern w:val="2"/>
          <w:sz w:val="24"/>
          <w:szCs w:val="24"/>
          <w:highlight w:val="none"/>
          <w:lang w:val="en-US" w:eastAsia="zh-CN" w:bidi="ar-SA"/>
          <w14:textFill>
            <w14:solidFill>
              <w14:schemeClr w14:val="tx1"/>
            </w14:solidFill>
          </w14:textFill>
        </w:rPr>
        <w:t>1.4</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cs="宋体"/>
          <w:color w:val="000000" w:themeColor="text1"/>
          <w:kern w:val="2"/>
          <w:sz w:val="24"/>
          <w:szCs w:val="24"/>
          <w:highlight w:val="none"/>
          <w:lang w:val="en-US" w:eastAsia="zh-CN" w:bidi="ar-SA"/>
          <w14:textFill>
            <w14:solidFill>
              <w14:schemeClr w14:val="tx1"/>
            </w14:solidFill>
          </w14:textFill>
        </w:rPr>
        <w:t>5 乙方负责维保设备的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质量检查</w:t>
      </w:r>
      <w:r>
        <w:rPr>
          <w:rFonts w:hint="eastAsia" w:cs="宋体"/>
          <w:color w:val="000000" w:themeColor="text1"/>
          <w:kern w:val="2"/>
          <w:sz w:val="24"/>
          <w:szCs w:val="24"/>
          <w:highlight w:val="none"/>
          <w:lang w:val="en-US" w:eastAsia="zh-CN" w:bidi="ar-SA"/>
          <w14:textFill>
            <w14:solidFill>
              <w14:schemeClr w14:val="tx1"/>
            </w14:solidFill>
          </w14:textFill>
        </w:rPr>
        <w:t>，包括</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检查图像质量（效果）、评判参数结果、调整/校准至原厂家质量标准、记录设备质量报告</w:t>
      </w:r>
      <w:r>
        <w:rPr>
          <w:rFonts w:hint="eastAsia" w:cs="宋体"/>
          <w:color w:val="000000" w:themeColor="text1"/>
          <w:kern w:val="2"/>
          <w:sz w:val="24"/>
          <w:szCs w:val="24"/>
          <w:highlight w:val="none"/>
          <w:lang w:val="en-US" w:eastAsia="zh-CN" w:bidi="ar-SA"/>
          <w14:textFill>
            <w14:solidFill>
              <w14:schemeClr w14:val="tx1"/>
            </w14:solidFill>
          </w14:textFill>
        </w:rPr>
        <w:t>等。</w:t>
      </w:r>
    </w:p>
    <w:p w14:paraId="73827FC7">
      <w:pPr>
        <w:pStyle w:val="7"/>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1.4.6 乙方负责为甲方工作人员提供免费设备规范使用培训。</w:t>
      </w:r>
    </w:p>
    <w:p w14:paraId="2694849E">
      <w:pPr>
        <w:pStyle w:val="7"/>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1.4.</w:t>
      </w:r>
      <w:r>
        <w:rPr>
          <w:rFonts w:hint="eastAsia" w:cs="宋体"/>
          <w:color w:val="000000" w:themeColor="text1"/>
          <w:kern w:val="2"/>
          <w:sz w:val="24"/>
          <w:szCs w:val="24"/>
          <w:highlight w:val="none"/>
          <w:lang w:val="en-US" w:eastAsia="zh-CN" w:bidi="ar-SA"/>
          <w14:textFill>
            <w14:solidFill>
              <w14:schemeClr w14:val="tx1"/>
            </w14:solidFill>
          </w14:textFill>
        </w:rPr>
        <w:t>7</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维保</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设</w:t>
      </w:r>
      <w:r>
        <w:rPr>
          <w:rFonts w:hint="eastAsia" w:asciiTheme="minorEastAsia" w:hAnsiTheme="minorEastAsia" w:eastAsiaTheme="minorEastAsia" w:cstheme="minorEastAsia"/>
          <w:color w:val="000000" w:themeColor="text1"/>
          <w:sz w:val="24"/>
          <w:szCs w:val="24"/>
          <w14:textFill>
            <w14:solidFill>
              <w14:schemeClr w14:val="tx1"/>
            </w14:solidFill>
          </w14:textFill>
        </w:rPr>
        <w:t>备年检时，</w:t>
      </w:r>
      <w:r>
        <w:rPr>
          <w:rFonts w:hint="eastAsia" w:asciiTheme="minorEastAsia" w:hAnsiTheme="minorEastAsia" w:cstheme="minorEastAsia"/>
          <w:color w:val="000000" w:themeColor="text1"/>
          <w:sz w:val="24"/>
          <w:szCs w:val="24"/>
          <w:lang w:val="en-US" w:eastAsia="zh-CN"/>
          <w14:textFill>
            <w14:solidFill>
              <w14:schemeClr w14:val="tx1"/>
            </w14:solidFill>
          </w14:textFill>
        </w:rPr>
        <w:t>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负责协助并保证设备的全部监测指标达标，通过相关部门检测，取得合格证。</w:t>
      </w:r>
    </w:p>
    <w:p w14:paraId="256207BA">
      <w:pPr>
        <w:pStyle w:val="16"/>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eastAsia="宋体" w:asciiTheme="minorEastAsia" w:hAnsiTheme="minorEastAsia" w:cstheme="minorEastAsia"/>
          <w:color w:val="000000" w:themeColor="text1"/>
          <w:kern w:val="2"/>
          <w:sz w:val="24"/>
          <w:szCs w:val="24"/>
          <w:lang w:val="en-US" w:eastAsia="zh-CN" w:bidi="ar-SA"/>
          <w14:textFill>
            <w14:solidFill>
              <w14:schemeClr w14:val="tx1"/>
            </w14:solidFill>
          </w14:textFill>
        </w:rPr>
      </w:pPr>
      <w:r>
        <w:rPr>
          <w:rFonts w:hint="eastAsia" w:eastAsia="宋体" w:asciiTheme="minorEastAsia" w:hAnsiTheme="minorEastAsia" w:cstheme="minorEastAsia"/>
          <w:color w:val="000000" w:themeColor="text1"/>
          <w:kern w:val="2"/>
          <w:sz w:val="24"/>
          <w:szCs w:val="24"/>
          <w:lang w:val="en-US" w:eastAsia="zh-CN" w:bidi="ar-SA"/>
          <w14:textFill>
            <w14:solidFill>
              <w14:schemeClr w14:val="tx1"/>
            </w14:solidFill>
          </w14:textFill>
        </w:rPr>
        <w:t>1.4.9 确保每合同年度维保设备开机率大于95%，即每合同年度维保设备开机天数不少于346.5天，停机天数不超过18.5天。如开机率未达到95%，停机时间每增加1天，维保服务期限顺延5天。</w:t>
      </w:r>
    </w:p>
    <w:p w14:paraId="5025E65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第二条 服务地点、期限</w:t>
      </w:r>
    </w:p>
    <w:p w14:paraId="3FC39DF0">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2.1 服务地点：甲方设备所在地。</w:t>
      </w:r>
    </w:p>
    <w:p w14:paraId="4AFC8C26">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2.2 服务期限为</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叁年</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，自</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cstheme="minorEastAsia"/>
          <w:color w:val="000000" w:themeColor="text1"/>
          <w:kern w:val="2"/>
          <w:sz w:val="24"/>
          <w:szCs w:val="24"/>
          <w:u w:val="single"/>
          <w:lang w:val="en-US" w:eastAsia="zh-CN" w:bidi="ar-SA"/>
          <w14:textFill>
            <w14:solidFill>
              <w14:schemeClr w14:val="tx1"/>
            </w14:solidFill>
          </w14:textFill>
        </w:rPr>
        <w:t>2025</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年</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月</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日</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起至</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cstheme="minorEastAsia"/>
          <w:color w:val="000000" w:themeColor="text1"/>
          <w:kern w:val="2"/>
          <w:sz w:val="24"/>
          <w:szCs w:val="24"/>
          <w:u w:val="single"/>
          <w:lang w:val="en-US" w:eastAsia="zh-CN" w:bidi="ar-SA"/>
          <w14:textFill>
            <w14:solidFill>
              <w14:schemeClr w14:val="tx1"/>
            </w14:solidFill>
          </w14:textFill>
        </w:rPr>
        <w:t>2028</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年</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月</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日止</w:t>
      </w:r>
      <w:r>
        <w:rPr>
          <w:rFonts w:hint="eastAsia" w:asciiTheme="minorEastAsia" w:hAnsiTheme="minorEastAsia" w:cstheme="minorEastAsia"/>
          <w:color w:val="000000" w:themeColor="text1"/>
          <w:kern w:val="2"/>
          <w:sz w:val="24"/>
          <w:szCs w:val="24"/>
          <w:u w:val="none"/>
          <w:lang w:val="en-US" w:eastAsia="zh-CN" w:bidi="ar-SA"/>
          <w14:textFill>
            <w14:solidFill>
              <w14:schemeClr w14:val="tx1"/>
            </w14:solidFill>
          </w14:textFill>
        </w:rPr>
        <w:t>。如</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出现本合同约定顺延期限情形，则服务期限相应顺延。</w:t>
      </w:r>
    </w:p>
    <w:p w14:paraId="3F0794F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三</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双方责任</w:t>
      </w:r>
    </w:p>
    <w:p w14:paraId="12A2A11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2" w:firstLineChars="20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3.1 甲方责任</w:t>
      </w:r>
    </w:p>
    <w:p w14:paraId="003EEE0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3.1.1 为乙方履行合同期间提供工作便利。</w:t>
      </w:r>
    </w:p>
    <w:p w14:paraId="047778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3.1.2 设备出现故障后及时通知乙方并告知相关故障现象。</w:t>
      </w:r>
    </w:p>
    <w:p w14:paraId="4F01F1E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3.1.3 在乙方每次按约定完成服务后，签字确认服务工单。</w:t>
      </w:r>
    </w:p>
    <w:p w14:paraId="0301E8F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2" w:firstLineChars="20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3.2 乙方责任</w:t>
      </w:r>
    </w:p>
    <w:p w14:paraId="3949341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3.2.1 未经甲方许可，不得自行对维保设备进行拆卸、更换等操作。因乙方工作失误造成设备故障，由乙方免费恢复并承担由此产生的全部法律责任、经济赔偿责任。</w:t>
      </w:r>
    </w:p>
    <w:p w14:paraId="1F9DB09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3.2.2 每次维保时应做好故障维修及保养事件记录，并到甲方设备使用部门备案登记，维保后应</w:t>
      </w:r>
      <w:r>
        <w:rPr>
          <w:rFonts w:hint="eastAsia" w:ascii="宋体" w:hAnsi="宋体" w:cs="宋体"/>
          <w:color w:val="000000" w:themeColor="text1"/>
          <w:sz w:val="24"/>
          <w:lang w:val="en-US" w:eastAsia="zh-CN"/>
          <w14:textFill>
            <w14:solidFill>
              <w14:schemeClr w14:val="tx1"/>
            </w14:solidFill>
          </w14:textFill>
        </w:rPr>
        <w:t>向甲方提交设备维修服务工单及</w:t>
      </w:r>
      <w:r>
        <w:rPr>
          <w:rFonts w:hint="eastAsia" w:ascii="宋体" w:hAnsi="宋体" w:eastAsia="宋体" w:cs="宋体"/>
          <w:b w:val="0"/>
          <w:bCs w:val="0"/>
          <w:color w:val="000000" w:themeColor="text1"/>
          <w:sz w:val="24"/>
          <w:szCs w:val="24"/>
          <w:lang w:val="en-US" w:eastAsia="zh-CN"/>
          <w14:textFill>
            <w14:solidFill>
              <w14:schemeClr w14:val="tx1"/>
            </w14:solidFill>
          </w14:textFill>
        </w:rPr>
        <w:t>符合原厂标准的维修、保养报告单及质控报告等</w:t>
      </w:r>
      <w:r>
        <w:rPr>
          <w:rFonts w:hint="eastAsia" w:ascii="宋体" w:hAnsi="宋体" w:cs="宋体"/>
          <w:color w:val="000000" w:themeColor="text1"/>
          <w:sz w:val="24"/>
          <w:lang w:val="en-US" w:eastAsia="zh-CN"/>
          <w14:textFill>
            <w14:solidFill>
              <w14:schemeClr w14:val="tx1"/>
            </w14:solidFill>
          </w14:textFill>
        </w:rPr>
        <w:t>，并由甲方医疗设备维修中心和设备使用科室在服务工单上共同签字确认</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p w14:paraId="16743F30">
      <w:pPr>
        <w:pStyle w:val="2"/>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color w:val="000000" w:themeColor="text1"/>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3.2.3 乙方在维保期内维护保养的次数与内容、更换维修零部件、备件的数目以甲、乙双方共同核对服务工作单为准，相关文件交甲方存档。</w:t>
      </w:r>
    </w:p>
    <w:p w14:paraId="2AA03CC6">
      <w:pPr>
        <w:pStyle w:val="16"/>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3.2.4 </w:t>
      </w:r>
      <w:r>
        <w:rPr>
          <w:rFonts w:hint="eastAsia" w:ascii="宋体" w:hAnsi="宋体" w:cs="宋体"/>
          <w:color w:val="000000" w:themeColor="text1"/>
          <w:sz w:val="24"/>
          <w:lang w:val="en-US" w:eastAsia="zh-CN"/>
          <w14:textFill>
            <w14:solidFill>
              <w14:schemeClr w14:val="tx1"/>
            </w14:solidFill>
          </w14:textFill>
        </w:rPr>
        <w:t>乙方保证所有的零部件、备件来源合法，进口配件乙方需向甲方提供相应的报关单等资质文件；如因乙方未按合同要求提供所造成的一切法律责任和经济赔偿责任均由乙方承担。</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维保期内更换下的零部件、备件由乙方负责回收。</w:t>
      </w:r>
    </w:p>
    <w:p w14:paraId="7742B65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3.2.5 乙方应确保零部件、备件安装完毕后维保设备达到运行标准，如因乙方安装、调试不到位造成设备停机或引发设备二次故障的，乙方应承担由此产生的法律责任和经济赔偿责任，且由此引发的停机时间计入乙方停机期限内。</w:t>
      </w:r>
    </w:p>
    <w:p w14:paraId="00844BF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付款时间、方式</w:t>
      </w:r>
    </w:p>
    <w:p w14:paraId="1919605D">
      <w:pPr>
        <w:pStyle w:val="12"/>
        <w:keepNext w:val="0"/>
        <w:keepLines w:val="0"/>
        <w:pageBreakBefore w:val="0"/>
        <w:widowControl w:val="0"/>
        <w:kinsoku/>
        <w:wordWrap/>
        <w:overflowPunct/>
        <w:topLinePunct w:val="0"/>
        <w:autoSpaceDE/>
        <w:autoSpaceDN/>
        <w:bidi w:val="0"/>
        <w:adjustRightInd/>
        <w:snapToGrid/>
        <w:spacing w:after="0" w:afterLines="0" w:line="480" w:lineRule="exact"/>
        <w:ind w:left="0" w:leftChars="0" w:firstLine="480" w:firstLineChars="200"/>
        <w:textAlignment w:val="auto"/>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 xml:space="preserve">4.1 </w:t>
      </w:r>
      <w:r>
        <w:rPr>
          <w:rFonts w:hint="eastAsia" w:ascii="宋体" w:hAnsi="宋体" w:eastAsia="宋体" w:cs="宋体"/>
          <w:color w:val="000000" w:themeColor="text1"/>
          <w:sz w:val="24"/>
          <w:szCs w:val="24"/>
          <w:lang w:val="en-US" w:eastAsia="zh-CN"/>
          <w14:textFill>
            <w14:solidFill>
              <w14:schemeClr w14:val="tx1"/>
            </w14:solidFill>
          </w14:textFill>
        </w:rPr>
        <w:t>维保服务费用标准为人民币</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元/年（￥</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元 /年），本合同</w:t>
      </w:r>
      <w:r>
        <w:rPr>
          <w:rFonts w:hint="eastAsia" w:ascii="宋体" w:hAnsi="宋体" w:cs="宋体"/>
          <w:color w:val="000000" w:themeColor="text1"/>
          <w:sz w:val="24"/>
          <w:szCs w:val="24"/>
          <w:lang w:val="en-US" w:eastAsia="zh-CN"/>
          <w14:textFill>
            <w14:solidFill>
              <w14:schemeClr w14:val="tx1"/>
            </w14:solidFill>
          </w14:textFill>
        </w:rPr>
        <w:t>维保服务费总金额</w:t>
      </w:r>
      <w:r>
        <w:rPr>
          <w:rFonts w:hint="eastAsia" w:ascii="宋体" w:hAnsi="宋体" w:eastAsia="宋体" w:cs="宋体"/>
          <w:color w:val="000000" w:themeColor="text1"/>
          <w:sz w:val="24"/>
          <w:szCs w:val="24"/>
          <w:lang w:val="en-US" w:eastAsia="zh-CN"/>
          <w14:textFill>
            <w14:solidFill>
              <w14:schemeClr w14:val="tx1"/>
            </w14:solidFill>
          </w14:textFill>
        </w:rPr>
        <w:t>为人民币</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元整（￥</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元），</w:t>
      </w:r>
      <w:r>
        <w:rPr>
          <w:rFonts w:hint="eastAsia" w:asciiTheme="minorEastAsia" w:hAnsiTheme="minorEastAsia" w:eastAsiaTheme="minorEastAsia" w:cstheme="minorEastAsia"/>
          <w:color w:val="000000" w:themeColor="text1"/>
          <w:kern w:val="2"/>
          <w:sz w:val="24"/>
          <w:szCs w:val="24"/>
          <w:u w:val="none"/>
          <w:lang w:val="en-US" w:eastAsia="zh-CN" w:bidi="ar-SA"/>
          <w14:textFill>
            <w14:solidFill>
              <w14:schemeClr w14:val="tx1"/>
            </w14:solidFill>
          </w14:textFill>
        </w:rPr>
        <w:t>已</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包含零配件费、备件费、</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报告费、</w:t>
      </w:r>
      <w:r>
        <w:rPr>
          <w:rFonts w:hint="eastAsia" w:ascii="宋体" w:hAnsi="宋体" w:eastAsia="宋体" w:cs="宋体"/>
          <w:color w:val="000000" w:themeColor="text1"/>
          <w:sz w:val="24"/>
          <w:szCs w:val="24"/>
          <w:lang w:val="en-US" w:eastAsia="zh-CN"/>
          <w14:textFill>
            <w14:solidFill>
              <w14:schemeClr w14:val="tx1"/>
            </w14:solidFill>
          </w14:textFill>
        </w:rPr>
        <w:t>安装调试费、</w:t>
      </w:r>
      <w:r>
        <w:rPr>
          <w:rFonts w:hint="eastAsia" w:ascii="宋体" w:hAnsi="宋体" w:eastAsia="宋体" w:cs="宋体"/>
          <w:color w:val="000000" w:themeColor="text1"/>
          <w:sz w:val="24"/>
          <w:szCs w:val="24"/>
          <w:highlight w:val="none"/>
          <w:lang w:val="en-US" w:eastAsia="zh-CN"/>
          <w14:textFill>
            <w14:solidFill>
              <w14:schemeClr w14:val="tx1"/>
            </w14:solidFill>
          </w14:textFill>
        </w:rPr>
        <w:t>系统软件维护费用、</w:t>
      </w: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维修费、</w:t>
      </w:r>
      <w:r>
        <w:rPr>
          <w:rFonts w:hint="eastAsia" w:ascii="宋体" w:hAnsi="宋体" w:eastAsia="宋体" w:cs="宋体"/>
          <w:color w:val="000000" w:themeColor="text1"/>
          <w:sz w:val="24"/>
          <w:szCs w:val="24"/>
          <w:highlight w:val="none"/>
          <w:lang w:val="en-US" w:eastAsia="zh-CN"/>
          <w14:textFill>
            <w14:solidFill>
              <w14:schemeClr w14:val="tx1"/>
            </w14:solidFill>
          </w14:textFill>
        </w:rPr>
        <w:t>保养费、保养损耗品费、</w:t>
      </w:r>
      <w: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t>运输费、装卸费、人工费、差旅费、税费等所有费用，甲方不再就本合同维保范围内的服务向乙方额外支付任何其他费用。</w:t>
      </w:r>
    </w:p>
    <w:p w14:paraId="1FF9F94A">
      <w:pPr>
        <w:pStyle w:val="7"/>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w:t>
      </w:r>
      <w:r>
        <w:rPr>
          <w:rFonts w:hint="eastAsia" w:cs="宋体"/>
          <w:b w:val="0"/>
          <w:bCs w:val="0"/>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 xml:space="preserve"> 甲方通过银行转账方式分陆期支付费用至乙方指定账户：甲方在合同</w:t>
      </w:r>
      <w:r>
        <w:rPr>
          <w:rFonts w:hint="eastAsia" w:cs="宋体"/>
          <w:b w:val="0"/>
          <w:bCs w:val="0"/>
          <w:color w:val="000000" w:themeColor="text1"/>
          <w:kern w:val="2"/>
          <w:sz w:val="24"/>
          <w:szCs w:val="24"/>
          <w:highlight w:val="none"/>
          <w:lang w:val="en-US" w:eastAsia="zh-CN" w:bidi="ar-SA"/>
          <w14:textFill>
            <w14:solidFill>
              <w14:schemeClr w14:val="tx1"/>
            </w14:solidFill>
          </w14:textFill>
        </w:rPr>
        <w:t>签订</w:t>
      </w:r>
      <w:r>
        <w:rPr>
          <w:rFonts w:hint="eastAsia" w:ascii="宋体" w:hAnsi="宋体" w:eastAsia="宋体" w:cs="宋体"/>
          <w:color w:val="000000" w:themeColor="text1"/>
          <w:sz w:val="24"/>
          <w:szCs w:val="24"/>
          <w:lang w:eastAsia="zh-CN"/>
          <w14:textFill>
            <w14:solidFill>
              <w14:schemeClr w14:val="tx1"/>
            </w14:solidFill>
          </w14:textFill>
        </w:rPr>
        <w:t>盖章之日</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起60日内支付合同维保</w:t>
      </w:r>
      <w:r>
        <w:rPr>
          <w:rFonts w:hint="eastAsia" w:cs="宋体"/>
          <w:b w:val="0"/>
          <w:bCs w:val="0"/>
          <w:color w:val="000000" w:themeColor="text1"/>
          <w:kern w:val="2"/>
          <w:sz w:val="24"/>
          <w:szCs w:val="24"/>
          <w:highlight w:val="none"/>
          <w:lang w:val="en-US" w:eastAsia="zh-CN" w:bidi="ar-SA"/>
          <w14:textFill>
            <w14:solidFill>
              <w14:schemeClr w14:val="tx1"/>
            </w14:solidFill>
          </w14:textFill>
        </w:rPr>
        <w:t>总费用的70％即人民币</w:t>
      </w:r>
      <w:r>
        <w:rPr>
          <w:rFonts w:hint="eastAsia"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w:t>
      </w:r>
      <w:r>
        <w:rPr>
          <w:rFonts w:hint="eastAsia" w:cs="宋体"/>
          <w:b w:val="0"/>
          <w:bCs w:val="0"/>
          <w:color w:val="000000" w:themeColor="text1"/>
          <w:kern w:val="2"/>
          <w:sz w:val="24"/>
          <w:szCs w:val="24"/>
          <w:highlight w:val="none"/>
          <w:lang w:val="en-US" w:eastAsia="zh-CN" w:bidi="ar-SA"/>
          <w14:textFill>
            <w14:solidFill>
              <w14:schemeClr w14:val="tx1"/>
            </w14:solidFill>
          </w14:textFill>
        </w:rPr>
        <w:t>合同期满两年之日起60日内支付合同总费用的20％</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即人民币¥</w:t>
      </w:r>
      <w:r>
        <w:rPr>
          <w:rFonts w:hint="eastAsia"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元</w:t>
      </w:r>
      <w:r>
        <w:rPr>
          <w:rFonts w:hint="eastAsia" w:cs="宋体"/>
          <w:b w:val="0"/>
          <w:bCs w:val="0"/>
          <w:color w:val="000000" w:themeColor="text1"/>
          <w:kern w:val="2"/>
          <w:sz w:val="24"/>
          <w:szCs w:val="24"/>
          <w:highlight w:val="none"/>
          <w:lang w:val="en-US" w:eastAsia="zh-CN" w:bidi="ar-SA"/>
          <w14:textFill>
            <w14:solidFill>
              <w14:schemeClr w14:val="tx1"/>
            </w14:solidFill>
          </w14:textFill>
        </w:rPr>
        <w:t>，合同三年期满之日起60日内（不存在违反合同条款的前提下）支付合同总价款的10％即人民币</w:t>
      </w:r>
      <w:r>
        <w:rPr>
          <w:rFonts w:hint="eastAsia"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cs="宋体"/>
          <w:b w:val="0"/>
          <w:bCs w:val="0"/>
          <w:color w:val="000000" w:themeColor="text1"/>
          <w:kern w:val="2"/>
          <w:sz w:val="24"/>
          <w:szCs w:val="24"/>
          <w:highlight w:val="none"/>
          <w:u w:val="none"/>
          <w:lang w:val="en-US" w:eastAsia="zh-CN" w:bidi="ar-SA"/>
          <w14:textFill>
            <w14:solidFill>
              <w14:schemeClr w14:val="tx1"/>
            </w14:solidFill>
          </w14:textFill>
        </w:rPr>
        <w:t>元</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w:t>
      </w:r>
    </w:p>
    <w:p w14:paraId="7AC5A911">
      <w:pPr>
        <w:pStyle w:val="2"/>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4.3 </w:t>
      </w:r>
      <w:r>
        <w:rPr>
          <w:rFonts w:hint="eastAsia" w:ascii="宋体" w:hAnsi="宋体" w:eastAsia="宋体" w:cs="宋体"/>
          <w:b w:val="0"/>
          <w:bCs w:val="0"/>
          <w:color w:val="000000" w:themeColor="text1"/>
          <w:sz w:val="24"/>
          <w:szCs w:val="24"/>
          <w:lang w:val="en-US" w:eastAsia="zh-CN"/>
          <w14:textFill>
            <w14:solidFill>
              <w14:schemeClr w14:val="tx1"/>
            </w14:solidFill>
          </w14:textFill>
        </w:rPr>
        <w:t>乙方应在甲方每次支付前15日提供以乙方自己名义开具的与付款金额等额的增值税普通发票和对应</w:t>
      </w:r>
      <w:r>
        <w:rPr>
          <w:rFonts w:hint="eastAsia" w:ascii="宋体" w:hAnsi="宋体" w:cs="宋体"/>
          <w:color w:val="000000" w:themeColor="text1"/>
          <w:sz w:val="24"/>
          <w:lang w:val="en-US" w:eastAsia="zh-CN"/>
          <w14:textFill>
            <w14:solidFill>
              <w14:schemeClr w14:val="tx1"/>
            </w14:solidFill>
          </w14:textFill>
        </w:rPr>
        <w:t>服务工单</w:t>
      </w:r>
      <w:r>
        <w:rPr>
          <w:rFonts w:hint="eastAsia" w:ascii="宋体" w:hAnsi="宋体" w:eastAsia="宋体" w:cs="宋体"/>
          <w:b w:val="0"/>
          <w:bCs w:val="0"/>
          <w:color w:val="000000" w:themeColor="text1"/>
          <w:sz w:val="24"/>
          <w:szCs w:val="24"/>
          <w:lang w:val="en-US" w:eastAsia="zh-CN"/>
          <w14:textFill>
            <w14:solidFill>
              <w14:schemeClr w14:val="tx1"/>
            </w14:solidFill>
          </w14:textFill>
        </w:rPr>
        <w:t>给甲方；如乙方未</w:t>
      </w:r>
      <w:r>
        <w:rPr>
          <w:rFonts w:hint="eastAsia" w:ascii="宋体" w:hAnsi="宋体" w:cs="宋体"/>
          <w:b w:val="0"/>
          <w:bCs w:val="0"/>
          <w:color w:val="000000" w:themeColor="text1"/>
          <w:sz w:val="24"/>
          <w:szCs w:val="24"/>
          <w:lang w:val="en-US" w:eastAsia="zh-CN"/>
          <w14:textFill>
            <w14:solidFill>
              <w14:schemeClr w14:val="tx1"/>
            </w14:solidFill>
          </w14:textFill>
        </w:rPr>
        <w:t>按前述约定</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w:t>
      </w:r>
      <w:r>
        <w:rPr>
          <w:rFonts w:hint="eastAsia" w:ascii="宋体" w:hAnsi="宋体" w:cs="宋体"/>
          <w:b w:val="0"/>
          <w:bCs w:val="0"/>
          <w:color w:val="000000" w:themeColor="text1"/>
          <w:sz w:val="24"/>
          <w:szCs w:val="24"/>
          <w:lang w:val="en-US" w:eastAsia="zh-CN"/>
          <w14:textFill>
            <w14:solidFill>
              <w14:schemeClr w14:val="tx1"/>
            </w14:solidFill>
          </w14:textFill>
        </w:rPr>
        <w:t>发票</w:t>
      </w:r>
      <w:r>
        <w:rPr>
          <w:rFonts w:hint="eastAsia" w:ascii="宋体" w:hAnsi="宋体" w:eastAsia="宋体" w:cs="宋体"/>
          <w:b w:val="0"/>
          <w:bCs w:val="0"/>
          <w:color w:val="000000" w:themeColor="text1"/>
          <w:sz w:val="24"/>
          <w:szCs w:val="24"/>
          <w:lang w:val="en-US" w:eastAsia="zh-CN"/>
          <w14:textFill>
            <w14:solidFill>
              <w14:schemeClr w14:val="tx1"/>
            </w14:solidFill>
          </w14:textFill>
        </w:rPr>
        <w:t>，甲方</w:t>
      </w:r>
      <w:r>
        <w:rPr>
          <w:rFonts w:hint="eastAsia" w:ascii="宋体" w:hAnsi="宋体" w:cs="宋体"/>
          <w:b w:val="0"/>
          <w:bCs w:val="0"/>
          <w:color w:val="000000" w:themeColor="text1"/>
          <w:sz w:val="24"/>
          <w:szCs w:val="24"/>
          <w:lang w:val="en-US" w:eastAsia="zh-CN"/>
          <w14:textFill>
            <w14:solidFill>
              <w14:schemeClr w14:val="tx1"/>
            </w14:solidFill>
          </w14:textFill>
        </w:rPr>
        <w:t>有权拒绝付款且不视为逾期付款</w:t>
      </w:r>
      <w:r>
        <w:rPr>
          <w:rFonts w:hint="eastAsia" w:ascii="宋体" w:hAnsi="宋体" w:eastAsia="宋体" w:cs="宋体"/>
          <w:b w:val="0"/>
          <w:bCs w:val="0"/>
          <w:color w:val="000000" w:themeColor="text1"/>
          <w:sz w:val="24"/>
          <w:szCs w:val="24"/>
          <w:lang w:val="en-US" w:eastAsia="zh-CN"/>
          <w14:textFill>
            <w14:solidFill>
              <w14:schemeClr w14:val="tx1"/>
            </w14:solidFill>
          </w14:textFill>
        </w:rPr>
        <w:t>，由此产生的</w:t>
      </w:r>
      <w:r>
        <w:rPr>
          <w:rFonts w:hint="eastAsia" w:ascii="宋体" w:hAnsi="宋体" w:cs="宋体"/>
          <w:b w:val="0"/>
          <w:bCs w:val="0"/>
          <w:color w:val="000000" w:themeColor="text1"/>
          <w:sz w:val="24"/>
          <w:szCs w:val="24"/>
          <w:lang w:val="en-US" w:eastAsia="zh-CN"/>
          <w14:textFill>
            <w14:solidFill>
              <w14:schemeClr w14:val="tx1"/>
            </w14:solidFill>
          </w14:textFill>
        </w:rPr>
        <w:t>不利后果</w:t>
      </w:r>
      <w:r>
        <w:rPr>
          <w:rFonts w:hint="eastAsia" w:ascii="宋体" w:hAnsi="宋体" w:eastAsia="宋体" w:cs="宋体"/>
          <w:b w:val="0"/>
          <w:bCs w:val="0"/>
          <w:color w:val="000000" w:themeColor="text1"/>
          <w:sz w:val="24"/>
          <w:szCs w:val="24"/>
          <w:lang w:val="en-US" w:eastAsia="zh-CN"/>
          <w14:textFill>
            <w14:solidFill>
              <w14:schemeClr w14:val="tx1"/>
            </w14:solidFill>
          </w14:textFill>
        </w:rPr>
        <w:t>均由乙方承担。</w:t>
      </w:r>
    </w:p>
    <w:p w14:paraId="44199660">
      <w:pPr>
        <w:pStyle w:val="2"/>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04E315A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风险承担</w:t>
      </w:r>
    </w:p>
    <w:p w14:paraId="68BA9FC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乙方履行本合同过程中发生事故，包括但不限于在运输、维修、保养、</w:t>
      </w:r>
      <w:r>
        <w:rPr>
          <w:rFonts w:hint="eastAsia" w:ascii="宋体" w:hAnsi="宋体" w:eastAsia="宋体" w:cs="宋体"/>
          <w:color w:val="000000" w:themeColor="text1"/>
          <w:kern w:val="2"/>
          <w:sz w:val="24"/>
          <w:szCs w:val="24"/>
          <w:lang w:val="en-US" w:eastAsia="zh-CN" w:bidi="ar-SA"/>
          <w14:textFill>
            <w14:solidFill>
              <w14:schemeClr w14:val="tx1"/>
            </w14:solidFill>
          </w14:textFill>
        </w:rPr>
        <w:t>检测及调试过程中发生</w:t>
      </w:r>
      <w:r>
        <w:rPr>
          <w:rFonts w:hint="eastAsia" w:ascii="宋体" w:hAnsi="宋体" w:eastAsia="宋体" w:cs="宋体"/>
          <w:color w:val="000000" w:themeColor="text1"/>
          <w:sz w:val="24"/>
          <w:szCs w:val="24"/>
          <w:highlight w:val="none"/>
          <w:lang w:val="en-US" w:eastAsia="zh-CN"/>
          <w14:textFill>
            <w14:solidFill>
              <w14:schemeClr w14:val="tx1"/>
            </w14:solidFill>
          </w14:textFill>
        </w:rPr>
        <w:t>一切事故，</w:t>
      </w:r>
      <w:r>
        <w:rPr>
          <w:rFonts w:hint="eastAsia" w:ascii="宋体" w:hAnsi="宋体" w:eastAsia="宋体" w:cs="宋体"/>
          <w:color w:val="000000" w:themeColor="text1"/>
          <w:kern w:val="2"/>
          <w:sz w:val="24"/>
          <w:szCs w:val="24"/>
          <w:lang w:val="en-US" w:eastAsia="zh-CN" w:bidi="ar-SA"/>
          <w14:textFill>
            <w14:solidFill>
              <w14:schemeClr w14:val="tx1"/>
            </w14:solidFill>
          </w14:textFill>
        </w:rPr>
        <w:t>给甲方、乙方（包括乙方指派人员）或第三方人身、财产造成损害的所有损失，均由乙方负责处理和承担全部法律责任、经济赔偿责任。</w:t>
      </w:r>
    </w:p>
    <w:p w14:paraId="6DA989E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如甲方因乙方配件、维保服务等原因涉及纠纷、诉讼或被处以行政处罚，由乙方承担甲方因纠纷、诉讼、罚款等造成的全部经济损失。</w:t>
      </w:r>
    </w:p>
    <w:p w14:paraId="26C01D9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廉洁条款</w:t>
      </w:r>
    </w:p>
    <w:p w14:paraId="68B76FA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val="en-US" w:eastAsia="zh-CN"/>
          <w14:textFill>
            <w14:solidFill>
              <w14:schemeClr w14:val="tx1"/>
            </w14:solidFill>
          </w14:textFill>
        </w:rPr>
        <w:t>.1 乙方应严格遵守国家相关法律法规，涉及合同的有关业务活动必须坚持公开、公平、公正、诚信原则，不得为获取不正当利益，损害国家、集体和甲方利益。</w:t>
      </w:r>
    </w:p>
    <w:p w14:paraId="4A9DB4E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6</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BDDD03C">
      <w:pPr>
        <w:pStyle w:val="7"/>
        <w:keepNext w:val="0"/>
        <w:keepLines w:val="0"/>
        <w:pageBreakBefore w:val="0"/>
        <w:widowControl w:val="0"/>
        <w:kinsoku/>
        <w:wordWrap/>
        <w:overflowPunct/>
        <w:topLinePunct w:val="0"/>
        <w:autoSpaceDE/>
        <w:autoSpaceDN/>
        <w:bidi w:val="0"/>
        <w:snapToGrid/>
        <w:spacing w:line="480" w:lineRule="exact"/>
        <w:ind w:left="0" w:leftChars="0" w:right="0" w:firstLine="482" w:firstLineChars="200"/>
        <w:textAlignment w:val="auto"/>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第七条 知识产权</w:t>
      </w:r>
    </w:p>
    <w:p w14:paraId="33187C88">
      <w:pPr>
        <w:pStyle w:val="2"/>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eastAsia="宋体" w:cs="宋体"/>
          <w:b w:val="0"/>
          <w:bCs w:val="0"/>
          <w:color w:val="000000" w:themeColor="text1"/>
          <w:kern w:val="2"/>
          <w:sz w:val="24"/>
          <w:szCs w:val="24"/>
          <w:highlight w:val="yellow"/>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乙方承诺已取得维保设备原厂授权，确保履行本合同期间不侵犯第三方知识产权，如因乙方侵权导致第三方向甲方主张权利，由此给甲方造成的包括但不限于甲方向第三方支付的赔偿款、补偿款、诉讼费、律师费、差旅费等全部经济损失，均由乙方承担。</w:t>
      </w:r>
    </w:p>
    <w:p w14:paraId="5A61BDBF">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第八条 保密条款</w:t>
      </w:r>
    </w:p>
    <w:p w14:paraId="6453025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8.1 本合同订立、履行、变更等产生的研究、商讨、交流等信息，履行本合同获悉的甲方商业秘密、运营信息、工作人员信息、患陪个人信息等，均属保密信息。</w:t>
      </w:r>
    </w:p>
    <w:p w14:paraId="43954AD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8.2 乙方应对保密信息采取有效手段严格保密，不得用于非本合同之目的或向第三方泄露。如政府部门、法院或其他有权部门要求乙方提供保密信息，乙方应当立即向甲方通报。</w:t>
      </w:r>
    </w:p>
    <w:p w14:paraId="662070F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8.3 因乙方未履行本合同保密义务造成甲方或第三方损失的，由乙方承担全部赔偿责任。</w:t>
      </w:r>
    </w:p>
    <w:p w14:paraId="500414D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8.4 本合同保密条款在合同被认定无效、被撤销或终止、解除后仍然有效。</w:t>
      </w:r>
    </w:p>
    <w:p w14:paraId="06602C7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第九条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2D70115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甲乙双方同意，与本合同有关的任何文书，应以书面方式按照本合同约定发送，书面方式包括手机短信、微信、书面函件、电子邮件等形式。</w:t>
      </w:r>
    </w:p>
    <w:p w14:paraId="26D48EA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双方确认的文书（包括未来可能发生的诉讼或仲裁活动中法院或仲裁机构的送达法律文书）送达地址：</w:t>
      </w:r>
    </w:p>
    <w:p w14:paraId="6F6BE37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9.2.1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娄底市娄星区</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娄底市中心医院医疗设备维修中心</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刘子文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13762299668</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13762299668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5E275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9.2.2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4D065B3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上述通知应被视为在下列时间送达：以快递或专人发送的，在收件人签收之日或拒收之日；以挂号邮件发出的，在发出之日起7个工作日；以电子邮件发出的，在电子邮件进入收件方电子邮箱服务器之日。</w:t>
      </w:r>
    </w:p>
    <w:p w14:paraId="4AA8CC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00C1AD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w:t>
      </w:r>
      <w:r>
        <w:rPr>
          <w:rFonts w:hint="eastAsia" w:ascii="宋体" w:hAnsi="宋体" w:eastAsia="宋体" w:cs="宋体"/>
          <w:b/>
          <w:bCs/>
          <w:color w:val="000000" w:themeColor="text1"/>
          <w:sz w:val="24"/>
          <w:highlight w:val="none"/>
          <w:lang w:val="en-US" w:eastAsia="zh-CN"/>
          <w14:textFill>
            <w14:solidFill>
              <w14:schemeClr w14:val="tx1"/>
            </w14:solidFill>
          </w14:textFill>
        </w:rPr>
        <w:t>十</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AB41A0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10.1 本合同经双方协商一致后可以变更，双方应另行签订补充协议。</w:t>
      </w:r>
    </w:p>
    <w:p w14:paraId="32586C1B">
      <w:pPr>
        <w:pStyle w:val="2"/>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color w:val="000000" w:themeColor="text1"/>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hAnsi="宋体" w:cs="宋体"/>
          <w:color w:val="000000" w:themeColor="text1"/>
          <w:sz w:val="24"/>
          <w:highlight w:val="none"/>
          <w:lang w:val="en-US" w:eastAsia="zh-CN"/>
          <w14:textFill>
            <w14:solidFill>
              <w14:schemeClr w14:val="tx1"/>
            </w14:solidFill>
          </w14:textFill>
        </w:rPr>
        <w:t>0</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如甲方因政策变化等非自身主观原因不需要购买本合同维保服务，经书面通知乙方后可以提前终止本合同；如甲方因运营需要等原因不需要购买本合同部分维保服务，不需要购买的部分，自甲方通知乙方时起自动从采购内容中剔除。</w:t>
      </w:r>
    </w:p>
    <w:p w14:paraId="5E221AE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10.3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w:t>
      </w:r>
      <w:r>
        <w:rPr>
          <w:rFonts w:hint="eastAsia" w:ascii="宋体" w:hAnsi="宋体" w:cs="宋体"/>
          <w:color w:val="000000" w:themeColor="text1"/>
          <w:sz w:val="24"/>
          <w:highlight w:val="none"/>
          <w:lang w:val="en-US" w:eastAsia="zh-CN"/>
          <w14:textFill>
            <w14:solidFill>
              <w14:schemeClr w14:val="tx1"/>
            </w14:solidFill>
          </w14:textFill>
        </w:rPr>
        <w:t>单方面</w:t>
      </w:r>
      <w:r>
        <w:rPr>
          <w:rFonts w:hint="eastAsia" w:ascii="宋体" w:hAnsi="宋体" w:eastAsia="宋体" w:cs="宋体"/>
          <w:color w:val="000000" w:themeColor="text1"/>
          <w:sz w:val="24"/>
          <w:highlight w:val="none"/>
          <w14:textFill>
            <w14:solidFill>
              <w14:schemeClr w14:val="tx1"/>
            </w14:solidFill>
          </w14:textFill>
        </w:rPr>
        <w:t>解除合同：</w:t>
      </w:r>
    </w:p>
    <w:p w14:paraId="52808F0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5 </w:t>
      </w:r>
      <w:r>
        <w:rPr>
          <w:rFonts w:hint="eastAsia" w:ascii="宋体" w:hAnsi="宋体" w:eastAsia="宋体" w:cs="宋体"/>
          <w:color w:val="000000" w:themeColor="text1"/>
          <w:sz w:val="24"/>
          <w:highlight w:val="none"/>
          <w14:textFill>
            <w14:solidFill>
              <w14:schemeClr w14:val="tx1"/>
            </w14:solidFill>
          </w14:textFill>
        </w:rPr>
        <w:t>日</w:t>
      </w:r>
      <w:r>
        <w:rPr>
          <w:rFonts w:hint="eastAsia" w:ascii="宋体" w:hAnsi="宋体" w:eastAsia="宋体" w:cs="宋体"/>
          <w:color w:val="000000" w:themeColor="text1"/>
          <w:sz w:val="24"/>
          <w:highlight w:val="none"/>
          <w:lang w:val="en-US" w:eastAsia="zh-CN"/>
          <w14:textFill>
            <w14:solidFill>
              <w14:schemeClr w14:val="tx1"/>
            </w14:solidFill>
          </w14:textFill>
        </w:rPr>
        <w:t>不能修复该设备的；</w:t>
      </w:r>
    </w:p>
    <w:p w14:paraId="31681C3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val="en-US" w:eastAsia="zh-CN"/>
          <w14:textFill>
            <w14:solidFill>
              <w14:schemeClr w14:val="tx1"/>
            </w14:solidFill>
          </w14:textFill>
        </w:rPr>
        <w:t>零部件、备件</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173034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乙方在服务时未尽注意义务导致维保设备</w:t>
      </w:r>
      <w:r>
        <w:rPr>
          <w:rFonts w:hint="eastAsia" w:ascii="宋体" w:hAnsi="宋体" w:cs="宋体"/>
          <w:color w:val="000000" w:themeColor="text1"/>
          <w:sz w:val="24"/>
          <w:u w:val="none"/>
          <w:lang w:val="en-US" w:eastAsia="zh-CN"/>
          <w14:textFill>
            <w14:solidFill>
              <w14:schemeClr w14:val="tx1"/>
            </w14:solidFill>
          </w14:textFill>
        </w:rPr>
        <w:t>发生无法修复的故障的；</w:t>
      </w:r>
    </w:p>
    <w:p w14:paraId="6FB933E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10.3.4 </w:t>
      </w:r>
      <w:r>
        <w:rPr>
          <w:rFonts w:hint="eastAsia" w:ascii="宋体" w:hAnsi="宋体" w:eastAsia="宋体" w:cs="宋体"/>
          <w:color w:val="000000" w:themeColor="text1"/>
          <w:sz w:val="24"/>
          <w:highlight w:val="none"/>
          <w14:textFill>
            <w14:solidFill>
              <w14:schemeClr w14:val="tx1"/>
            </w14:solidFill>
          </w14:textFill>
        </w:rPr>
        <w:t>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2BC76F1D">
      <w:pPr>
        <w:pStyle w:val="2"/>
        <w:keepNext w:val="0"/>
        <w:keepLines w:val="0"/>
        <w:pageBreakBefore w:val="0"/>
        <w:widowControl w:val="0"/>
        <w:kinsoku/>
        <w:wordWrap/>
        <w:overflowPunct/>
        <w:topLinePunct w:val="0"/>
        <w:autoSpaceDE/>
        <w:autoSpaceDN/>
        <w:bidi w:val="0"/>
        <w:snapToGrid/>
        <w:spacing w:line="480" w:lineRule="exact"/>
        <w:ind w:firstLine="480" w:firstLineChars="200"/>
        <w:rPr>
          <w:rFonts w:hint="default"/>
          <w:color w:val="000000" w:themeColor="text1"/>
          <w:lang w:val="en-US" w:eastAsia="zh-CN"/>
          <w14:textFill>
            <w14:solidFill>
              <w14:schemeClr w14:val="tx1"/>
            </w14:solidFill>
          </w14:textFill>
        </w:rPr>
      </w:pPr>
      <w:r>
        <w:rPr>
          <w:rFonts w:hint="eastAsia" w:hAnsi="宋体" w:cs="宋体"/>
          <w:color w:val="000000" w:themeColor="text1"/>
          <w:sz w:val="24"/>
          <w:szCs w:val="24"/>
          <w:highlight w:val="none"/>
          <w:u w:val="none"/>
          <w:lang w:val="en-US" w:eastAsia="zh-CN"/>
          <w14:textFill>
            <w14:solidFill>
              <w14:schemeClr w14:val="tx1"/>
            </w14:solidFill>
          </w14:textFill>
        </w:rPr>
        <w:t>10.3.5  乙方违反本合同第七条知识产权条款约定的；</w:t>
      </w:r>
    </w:p>
    <w:p w14:paraId="2ECFD90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10.3.6 每合同年度维保设备</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开机率低于92%</w:t>
      </w:r>
      <w:r>
        <w:rPr>
          <w:rFonts w:hint="eastAsia" w:asciiTheme="minorEastAsia" w:hAnsiTheme="minorEastAsia" w:cstheme="minorEastAsia"/>
          <w:color w:val="000000" w:themeColor="text1"/>
          <w:sz w:val="24"/>
          <w:szCs w:val="24"/>
          <w:lang w:val="en-US" w:eastAsia="zh-CN"/>
          <w14:textFill>
            <w14:solidFill>
              <w14:schemeClr w14:val="tx1"/>
            </w14:solidFill>
          </w14:textFill>
        </w:rPr>
        <w:t>的；</w:t>
      </w:r>
    </w:p>
    <w:p w14:paraId="514692E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10.3.7</w:t>
      </w:r>
      <w:r>
        <w:rPr>
          <w:rFonts w:hint="eastAsia" w:ascii="宋体" w:hAnsi="宋体" w:eastAsia="宋体" w:cs="宋体"/>
          <w:color w:val="000000" w:themeColor="text1"/>
          <w:sz w:val="24"/>
          <w:highlight w:val="none"/>
          <w14:textFill>
            <w14:solidFill>
              <w14:schemeClr w14:val="tx1"/>
            </w14:solidFill>
          </w14:textFill>
        </w:rPr>
        <w:t xml:space="preserve"> 其他根本违约的情形。</w:t>
      </w:r>
    </w:p>
    <w:p w14:paraId="73285DC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val="en-US" w:eastAsia="zh-CN"/>
          <w14:textFill>
            <w14:solidFill>
              <w14:schemeClr w14:val="tx1"/>
            </w14:solidFill>
          </w14:textFill>
        </w:rPr>
        <w:t>十一</w:t>
      </w:r>
      <w:r>
        <w:rPr>
          <w:rFonts w:hint="eastAsia" w:ascii="宋体" w:hAnsi="宋体" w:eastAsia="宋体" w:cs="宋体"/>
          <w:b/>
          <w:bCs/>
          <w:color w:val="000000" w:themeColor="text1"/>
          <w:sz w:val="24"/>
          <w:highlight w:val="none"/>
          <w14:textFill>
            <w14:solidFill>
              <w14:schemeClr w14:val="tx1"/>
            </w14:solidFill>
          </w14:textFill>
        </w:rPr>
        <w:t>条 违约责任</w:t>
      </w:r>
    </w:p>
    <w:p w14:paraId="3C513FD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w:t>
      </w:r>
      <w:r>
        <w:rPr>
          <w:rFonts w:hint="eastAsia" w:ascii="宋体" w:hAnsi="宋体" w:eastAsia="宋体" w:cs="宋体"/>
          <w:color w:val="000000" w:themeColor="text1"/>
          <w:sz w:val="24"/>
          <w:highlight w:val="none"/>
          <w:lang w:val="en-US" w:eastAsia="zh-CN"/>
          <w14:textFill>
            <w14:solidFill>
              <w14:schemeClr w14:val="tx1"/>
            </w14:solidFill>
          </w14:textFill>
        </w:rPr>
        <w:t>因10.2情形提前终止本合同或剔除部分采购内容均无须承担违约责任，乙方不得因此要求甲方予以任何经济赔偿或补偿。</w:t>
      </w:r>
    </w:p>
    <w:p w14:paraId="1029B74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 xml:space="preserve">.2 </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如乙方</w:t>
      </w:r>
      <w:r>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t>未在本合同约定时间内提供服务</w:t>
      </w:r>
      <w:r>
        <w:rPr>
          <w:rFonts w:hint="eastAsia" w:ascii="宋体" w:hAnsi="宋体" w:eastAsia="宋体" w:cs="宋体"/>
          <w:color w:val="000000" w:themeColor="text1"/>
          <w:sz w:val="24"/>
          <w:highlight w:val="none"/>
          <w14:textFill>
            <w14:solidFill>
              <w14:schemeClr w14:val="tx1"/>
            </w14:solidFill>
          </w14:textFill>
        </w:rPr>
        <w:t>，除应赔偿甲方因此造成的损失外，每逾期一日，按</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2EAD47C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10.3情形</w:t>
      </w:r>
      <w:r>
        <w:rPr>
          <w:rFonts w:hint="eastAsia" w:ascii="宋体" w:hAnsi="宋体" w:eastAsia="宋体" w:cs="宋体"/>
          <w:color w:val="000000" w:themeColor="text1"/>
          <w:sz w:val="24"/>
          <w:highlight w:val="none"/>
          <w14:textFill>
            <w14:solidFill>
              <w14:schemeClr w14:val="tx1"/>
            </w14:solidFill>
          </w14:textFill>
        </w:rPr>
        <w:t>解除合同</w:t>
      </w:r>
      <w:r>
        <w:rPr>
          <w:rFonts w:hint="eastAsia" w:ascii="宋体" w:hAnsi="宋体" w:eastAsia="宋体" w:cs="宋体"/>
          <w:color w:val="000000" w:themeColor="text1"/>
          <w:sz w:val="24"/>
          <w:highlight w:val="none"/>
          <w:lang w:val="en-US" w:eastAsia="zh-CN"/>
          <w14:textFill>
            <w14:solidFill>
              <w14:schemeClr w14:val="tx1"/>
            </w14:solidFill>
          </w14:textFill>
        </w:rPr>
        <w:t>，乙方除赔偿甲方由此造成的全部损失（包括但不限于实际经济损失，因纠纷产生的律师费、诉讼费、差旅费、保全保险费等）外，还须按</w:t>
      </w:r>
      <w:r>
        <w:rPr>
          <w:rFonts w:hint="eastAsia" w:ascii="宋体" w:hAnsi="宋体" w:eastAsia="宋体" w:cs="宋体"/>
          <w:color w:val="000000" w:themeColor="text1"/>
          <w:sz w:val="24"/>
          <w:highlight w:val="none"/>
          <w:u w:val="none"/>
          <w14:textFill>
            <w14:solidFill>
              <w14:schemeClr w14:val="tx1"/>
            </w14:solidFill>
          </w14:textFill>
        </w:rPr>
        <w:t>本合同</w:t>
      </w:r>
      <w:r>
        <w:rPr>
          <w:rFonts w:hint="eastAsia" w:ascii="宋体" w:hAnsi="宋体" w:cs="宋体"/>
          <w:color w:val="000000" w:themeColor="text1"/>
          <w:sz w:val="24"/>
          <w:highlight w:val="none"/>
          <w:u w:val="none"/>
          <w:lang w:val="en-US" w:eastAsia="zh-CN"/>
          <w14:textFill>
            <w14:solidFill>
              <w14:schemeClr w14:val="tx1"/>
            </w14:solidFill>
          </w14:textFill>
        </w:rPr>
        <w:t>约定</w:t>
      </w:r>
      <w:r>
        <w:rPr>
          <w:rFonts w:hint="eastAsia" w:ascii="宋体" w:hAnsi="宋体" w:eastAsia="宋体" w:cs="宋体"/>
          <w:color w:val="000000" w:themeColor="text1"/>
          <w:sz w:val="24"/>
          <w:highlight w:val="none"/>
          <w:u w:val="none"/>
          <w14:textFill>
            <w14:solidFill>
              <w14:schemeClr w14:val="tx1"/>
            </w14:solidFill>
          </w14:textFill>
        </w:rPr>
        <w:t>总价款30%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272FB3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11.4 无论甲方在任意时候（不限于本合同履行期间）发现存在违反本合同廉洁条款的行为，乙方均须向甲方一次性支付惩罚性违约金20000元。如乙方除需承担违反廉洁条款的违约责任外，同时存在其他违约行为，乙方仍须就其他违约行为承担相应违约责任。</w:t>
      </w:r>
    </w:p>
    <w:p w14:paraId="16C1473D">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11.5 依据本合同约定乙方应支付给甲方的违约金，甲方有权在应支付给乙方的任意价款中直接予以扣除，如扣除部分不足，乙方应在接到甲方通知后3日内补足。</w:t>
      </w:r>
    </w:p>
    <w:p w14:paraId="4579029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val="en-US" w:eastAsia="zh-CN"/>
          <w14:textFill>
            <w14:solidFill>
              <w14:schemeClr w14:val="tx1"/>
            </w14:solidFill>
          </w14:textFill>
        </w:rPr>
        <w:t>十二</w:t>
      </w:r>
      <w:r>
        <w:rPr>
          <w:rFonts w:hint="eastAsia" w:ascii="宋体" w:hAnsi="宋体" w:eastAsia="宋体" w:cs="宋体"/>
          <w:b/>
          <w:bCs/>
          <w:color w:val="000000" w:themeColor="text1"/>
          <w:sz w:val="24"/>
          <w:highlight w:val="none"/>
          <w14:textFill>
            <w14:solidFill>
              <w14:schemeClr w14:val="tx1"/>
            </w14:solidFill>
          </w14:textFill>
        </w:rPr>
        <w:t>条 争议解决</w:t>
      </w:r>
    </w:p>
    <w:p w14:paraId="05603B7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12.1 本合同适用中华人民共和国法律，并按其解释。</w:t>
      </w:r>
    </w:p>
    <w:p w14:paraId="6092692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12.2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2DF4A13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附则</w:t>
      </w:r>
    </w:p>
    <w:p w14:paraId="4B0DA9A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15B050D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cs="宋体"/>
          <w:color w:val="000000" w:themeColor="text1"/>
          <w:sz w:val="24"/>
          <w:highlight w:val="none"/>
          <w:lang w:val="en-US" w:eastAsia="zh-CN"/>
          <w14:textFill>
            <w14:solidFill>
              <w14:schemeClr w14:val="tx1"/>
            </w14:solidFill>
          </w14:textFill>
        </w:rPr>
        <w:t>之日起</w:t>
      </w:r>
      <w:r>
        <w:rPr>
          <w:rFonts w:hint="eastAsia" w:ascii="宋体" w:hAnsi="宋体" w:eastAsia="宋体" w:cs="宋体"/>
          <w:color w:val="000000" w:themeColor="text1"/>
          <w:sz w:val="24"/>
          <w:highlight w:val="none"/>
          <w14:textFill>
            <w14:solidFill>
              <w14:schemeClr w14:val="tx1"/>
            </w14:solidFill>
          </w14:textFill>
        </w:rPr>
        <w:t>生效。</w:t>
      </w:r>
    </w:p>
    <w:p w14:paraId="0FF45A1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p>
    <w:p w14:paraId="133B7CA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4E211379">
      <w:pPr>
        <w:pStyle w:val="2"/>
        <w:rPr>
          <w:color w:val="000000" w:themeColor="text1"/>
          <w14:textFill>
            <w14:solidFill>
              <w14:schemeClr w14:val="tx1"/>
            </w14:solidFill>
          </w14:textFill>
        </w:rPr>
      </w:pPr>
    </w:p>
    <w:p w14:paraId="4250C2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22D6E172">
      <w:pPr>
        <w:pStyle w:val="2"/>
        <w:rPr>
          <w:rFonts w:hint="eastAsia"/>
          <w:color w:val="000000" w:themeColor="text1"/>
          <w14:textFill>
            <w14:solidFill>
              <w14:schemeClr w14:val="tx1"/>
            </w14:solidFill>
          </w14:textFill>
        </w:rPr>
      </w:pPr>
    </w:p>
    <w:p w14:paraId="78ADFB9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委托代理人（签字）：</w:t>
      </w:r>
    </w:p>
    <w:p w14:paraId="2D6479E9">
      <w:pPr>
        <w:pStyle w:val="2"/>
        <w:rPr>
          <w:color w:val="000000" w:themeColor="text1"/>
          <w14:textFill>
            <w14:solidFill>
              <w14:schemeClr w14:val="tx1"/>
            </w14:solidFill>
          </w14:textFill>
        </w:rPr>
      </w:pPr>
    </w:p>
    <w:p w14:paraId="4F709F7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eastAsiaTheme="minorEastAsia"/>
          <w:color w:val="000000" w:themeColor="text1"/>
          <w:highlight w:val="none"/>
          <w:lang w:eastAsia="zh-CN"/>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691820E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color w:val="000000" w:themeColor="text1"/>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3"/>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3"/>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3"/>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3"/>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8"/>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6"/>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4"/>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6"/>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8"/>
        <w:rPr>
          <w:rFonts w:hint="eastAsia" w:ascii="仿宋" w:hAnsi="仿宋" w:eastAsia="仿宋" w:cs="仿宋"/>
          <w:color w:val="auto"/>
          <w:sz w:val="24"/>
          <w:szCs w:val="24"/>
        </w:rPr>
      </w:pPr>
    </w:p>
    <w:p w14:paraId="359A2A68">
      <w:pPr>
        <w:pStyle w:val="16"/>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p w14:paraId="6A1A3768"/>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9"/>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9"/>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9"/>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077D89"/>
    <w:rsid w:val="34035132"/>
    <w:rsid w:val="69BE4919"/>
    <w:rsid w:val="6A077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Body Text 21"/>
    <w:basedOn w:val="1"/>
    <w:qFormat/>
    <w:uiPriority w:val="0"/>
    <w:pPr>
      <w:adjustRightInd w:val="0"/>
      <w:spacing w:line="240" w:lineRule="exact"/>
      <w:textAlignment w:val="baseline"/>
    </w:pPr>
    <w:rPr>
      <w:rFonts w:ascii="宋体" w:hAnsi="Times New Roman" w:eastAsia="宋体"/>
      <w:kern w:val="0"/>
      <w:sz w:val="18"/>
      <w:szCs w:val="20"/>
    </w:r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next w:val="1"/>
    <w:semiHidden/>
    <w:qFormat/>
    <w:uiPriority w:val="0"/>
    <w:rPr>
      <w:rFonts w:ascii="宋体" w:hAnsi="宋体" w:eastAsia="宋体" w:cs="宋体"/>
      <w:sz w:val="21"/>
      <w:szCs w:val="21"/>
      <w:lang w:val="en-US" w:eastAsia="en-US" w:bidi="ar-SA"/>
    </w:rPr>
  </w:style>
  <w:style w:type="paragraph" w:styleId="8">
    <w:name w:val="Body Text Indent"/>
    <w:basedOn w:val="1"/>
    <w:next w:val="1"/>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5"/>
    <w:qFormat/>
    <w:uiPriority w:val="0"/>
    <w:pPr>
      <w:widowControl/>
      <w:spacing w:after="312" w:afterLines="100" w:line="360" w:lineRule="auto"/>
      <w:ind w:left="200" w:firstLine="210" w:firstLineChars="200"/>
      <w:jc w:val="left"/>
    </w:pPr>
    <w:rPr>
      <w:rFonts w:ascii="等线" w:hAnsi="等线" w:eastAsia="等线" w:cs="Times New Roman"/>
      <w:kern w:val="28"/>
      <w:lang w:val="zh-CN"/>
    </w:rPr>
  </w:style>
  <w:style w:type="table" w:styleId="14">
    <w:name w:val="Table Grid"/>
    <w:basedOn w:val="13"/>
    <w:qFormat/>
    <w:uiPriority w:val="0"/>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autoRedefine/>
    <w:qFormat/>
    <w:uiPriority w:val="99"/>
    <w:pPr>
      <w:ind w:firstLine="420" w:firstLineChars="200"/>
    </w:pPr>
  </w:style>
  <w:style w:type="paragraph" w:styleId="17">
    <w:name w:val="List Paragraph"/>
    <w:basedOn w:val="1"/>
    <w:unhideWhenUsed/>
    <w:qFormat/>
    <w:uiPriority w:val="99"/>
    <w:pPr>
      <w:ind w:firstLine="420" w:firstLineChars="200"/>
    </w:pPr>
  </w:style>
  <w:style w:type="paragraph" w:customStyle="1" w:styleId="1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纯文本 New New New New New New New New New"/>
    <w:basedOn w:val="20"/>
    <w:qFormat/>
    <w:uiPriority w:val="0"/>
    <w:rPr>
      <w:rFonts w:ascii="宋体" w:hAnsi="宋体"/>
    </w:rPr>
  </w:style>
  <w:style w:type="paragraph" w:customStyle="1" w:styleId="20">
    <w:name w:val="正文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8731</Words>
  <Characters>9252</Characters>
  <Lines>0</Lines>
  <Paragraphs>0</Paragraphs>
  <TotalTime>5</TotalTime>
  <ScaleCrop>false</ScaleCrop>
  <LinksUpToDate>false</LinksUpToDate>
  <CharactersWithSpaces>10354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2025-12-05T01:20:00Z</dcterms:created>
  <dc:creator>是小豹子</dc:creator>
  <cp:lastModifiedBy>是小豹子</cp:lastModifiedBy>
  <dcterms:modified xsi:type="dcterms:W3CDTF">2025-12-08T09:31:37Z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94BCC5C57E1848CDBF171E7A499313C7_11</vt:lpwstr>
  </property>
  <property fmtid="{D5CDD505-2E9C-101B-9397-08002B2CF9AE}" pid="4" name="KSOTemplateDocerSaveRecord">
    <vt:lpwstr>eyJoZGlkIjoiMjI0YzkyZjA4NDE5ZWViZGEyZTVjOTNhYTg4ZmYzYTciLCJ1c2VySWQiOiIzMDQ3NTQ4MDUifQ==</vt:lpwstr>
  </property>
</Properties>
</file>