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2907FD">
      <w:pPr>
        <w:pStyle w:val="5"/>
        <w:snapToGrid w:val="0"/>
        <w:jc w:val="center"/>
        <w:rPr>
          <w:rFonts w:ascii="Arial" w:hAnsi="Arial" w:eastAsia="方正小标宋简体" w:cs="Arial"/>
          <w:color w:val="auto"/>
          <w:sz w:val="72"/>
          <w:szCs w:val="72"/>
        </w:rPr>
      </w:pPr>
    </w:p>
    <w:p w14:paraId="4E083A2B">
      <w:pPr>
        <w:pStyle w:val="5"/>
        <w:tabs>
          <w:tab w:val="left" w:pos="312"/>
        </w:tabs>
        <w:snapToGrid w:val="0"/>
        <w:spacing w:line="288" w:lineRule="auto"/>
        <w:jc w:val="center"/>
        <w:rPr>
          <w:rFonts w:ascii="Arial" w:hAnsi="Arial" w:eastAsia="方正小标宋简体" w:cs="Arial"/>
          <w:color w:val="auto"/>
          <w:sz w:val="72"/>
          <w:szCs w:val="72"/>
        </w:rPr>
      </w:pPr>
      <w:bookmarkStart w:id="0" w:name="_Toc16523570"/>
      <w:r>
        <w:rPr>
          <w:rFonts w:hint="eastAsia" w:ascii="Arial" w:hAnsi="Arial" w:eastAsia="方正小标宋简体" w:cs="Arial"/>
          <w:color w:val="auto"/>
          <w:sz w:val="72"/>
          <w:szCs w:val="72"/>
        </w:rPr>
        <w:t>娄底市中心医院院内</w:t>
      </w:r>
    </w:p>
    <w:p w14:paraId="033C42C8">
      <w:pPr>
        <w:pStyle w:val="5"/>
        <w:snapToGrid w:val="0"/>
        <w:jc w:val="center"/>
        <w:rPr>
          <w:rFonts w:ascii="Arial" w:hAnsi="Arial" w:eastAsia="方正小标宋简体" w:cs="Arial"/>
          <w:color w:val="auto"/>
          <w:sz w:val="72"/>
          <w:szCs w:val="72"/>
        </w:rPr>
      </w:pPr>
    </w:p>
    <w:p w14:paraId="11706043">
      <w:pPr>
        <w:pStyle w:val="5"/>
        <w:snapToGrid w:val="0"/>
        <w:jc w:val="center"/>
        <w:rPr>
          <w:rFonts w:ascii="Arial" w:hAnsi="Arial" w:eastAsia="方正小标宋简体" w:cs="Arial"/>
          <w:color w:val="auto"/>
          <w:sz w:val="72"/>
          <w:szCs w:val="72"/>
        </w:rPr>
      </w:pPr>
      <w:r>
        <w:rPr>
          <w:rFonts w:hint="eastAsia" w:ascii="Arial" w:hAnsi="Arial" w:eastAsia="方正小标宋简体" w:cs="Arial"/>
          <w:color w:val="auto"/>
          <w:sz w:val="72"/>
          <w:szCs w:val="72"/>
        </w:rPr>
        <w:t>招</w:t>
      </w:r>
    </w:p>
    <w:p w14:paraId="29F5DF99">
      <w:pPr>
        <w:pStyle w:val="5"/>
        <w:snapToGrid w:val="0"/>
        <w:jc w:val="center"/>
        <w:rPr>
          <w:rFonts w:ascii="Arial" w:hAnsi="Arial" w:eastAsia="方正小标宋简体" w:cs="Arial"/>
          <w:color w:val="auto"/>
          <w:sz w:val="72"/>
          <w:szCs w:val="72"/>
        </w:rPr>
      </w:pPr>
    </w:p>
    <w:p w14:paraId="3BD69E26">
      <w:pPr>
        <w:pStyle w:val="5"/>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标</w:t>
      </w:r>
    </w:p>
    <w:p w14:paraId="72297017">
      <w:pPr>
        <w:pStyle w:val="5"/>
        <w:snapToGrid w:val="0"/>
        <w:jc w:val="center"/>
        <w:rPr>
          <w:rFonts w:ascii="Arial" w:hAnsi="Arial" w:eastAsia="方正小标宋简体" w:cs="Arial"/>
          <w:color w:val="auto"/>
          <w:sz w:val="72"/>
          <w:szCs w:val="72"/>
        </w:rPr>
      </w:pPr>
    </w:p>
    <w:p w14:paraId="6E2997A4">
      <w:pPr>
        <w:pStyle w:val="5"/>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文</w:t>
      </w:r>
    </w:p>
    <w:p w14:paraId="564AA94A">
      <w:pPr>
        <w:pStyle w:val="5"/>
        <w:snapToGrid w:val="0"/>
        <w:jc w:val="center"/>
        <w:rPr>
          <w:rFonts w:ascii="Arial" w:hAnsi="Arial" w:eastAsia="方正小标宋简体" w:cs="Arial"/>
          <w:color w:val="auto"/>
          <w:sz w:val="72"/>
          <w:szCs w:val="72"/>
        </w:rPr>
      </w:pPr>
    </w:p>
    <w:p w14:paraId="4FF82E7D">
      <w:pPr>
        <w:pStyle w:val="5"/>
        <w:snapToGrid w:val="0"/>
        <w:jc w:val="center"/>
        <w:rPr>
          <w:rFonts w:ascii="Arial" w:hAnsi="Arial" w:eastAsia="方正小标宋简体" w:cs="Arial"/>
          <w:color w:val="auto"/>
          <w:sz w:val="36"/>
          <w:szCs w:val="36"/>
        </w:rPr>
      </w:pPr>
      <w:r>
        <w:rPr>
          <w:rFonts w:ascii="Arial" w:hAnsi="Arial" w:eastAsia="方正小标宋简体" w:cs="Arial"/>
          <w:color w:val="auto"/>
          <w:sz w:val="72"/>
          <w:szCs w:val="72"/>
        </w:rPr>
        <w:t>件</w:t>
      </w:r>
    </w:p>
    <w:p w14:paraId="78C69757">
      <w:pPr>
        <w:pStyle w:val="5"/>
        <w:snapToGrid w:val="0"/>
        <w:jc w:val="center"/>
        <w:rPr>
          <w:rFonts w:ascii="Arial" w:hAnsi="Arial" w:cs="Arial"/>
          <w:color w:val="auto"/>
          <w:sz w:val="32"/>
          <w:szCs w:val="32"/>
        </w:rPr>
      </w:pPr>
    </w:p>
    <w:p w14:paraId="0EDD96F5">
      <w:pPr>
        <w:pStyle w:val="5"/>
        <w:snapToGrid w:val="0"/>
        <w:jc w:val="center"/>
        <w:rPr>
          <w:rFonts w:ascii="Arial" w:hAnsi="Arial" w:cs="Arial"/>
          <w:color w:val="auto"/>
          <w:sz w:val="32"/>
          <w:szCs w:val="32"/>
        </w:rPr>
      </w:pPr>
    </w:p>
    <w:p w14:paraId="58640FD8">
      <w:pPr>
        <w:pStyle w:val="5"/>
        <w:snapToGrid w:val="0"/>
        <w:jc w:val="center"/>
        <w:rPr>
          <w:rFonts w:ascii="Arial" w:hAnsi="Arial" w:cs="Arial"/>
          <w:color w:val="auto"/>
          <w:sz w:val="32"/>
          <w:szCs w:val="32"/>
        </w:rPr>
      </w:pPr>
    </w:p>
    <w:p w14:paraId="1C060FB6">
      <w:pPr>
        <w:spacing w:line="360" w:lineRule="auto"/>
        <w:rPr>
          <w:rFonts w:hint="eastAsia"/>
          <w:bCs/>
          <w:color w:val="auto"/>
          <w:sz w:val="32"/>
          <w:szCs w:val="32"/>
        </w:rPr>
      </w:pPr>
    </w:p>
    <w:p w14:paraId="2BEB284D">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color w:val="auto"/>
          <w:sz w:val="32"/>
          <w:szCs w:val="32"/>
        </w:rPr>
      </w:pPr>
      <w:r>
        <w:rPr>
          <w:rFonts w:hint="eastAsia"/>
          <w:bCs/>
          <w:color w:val="auto"/>
          <w:sz w:val="32"/>
          <w:szCs w:val="32"/>
        </w:rPr>
        <w:t>项目名称：</w:t>
      </w:r>
      <w:r>
        <w:rPr>
          <w:rFonts w:hint="eastAsia"/>
          <w:bCs/>
          <w:color w:val="auto"/>
          <w:sz w:val="32"/>
          <w:szCs w:val="32"/>
          <w:lang w:val="en-US" w:eastAsia="zh-CN"/>
        </w:rPr>
        <w:t>电子健康卡接口服务</w:t>
      </w:r>
      <w:r>
        <w:rPr>
          <w:rFonts w:hint="eastAsia"/>
          <w:bCs/>
          <w:color w:val="auto"/>
          <w:sz w:val="32"/>
          <w:szCs w:val="32"/>
        </w:rPr>
        <w:t>招标文件（院内</w:t>
      </w:r>
      <w:r>
        <w:rPr>
          <w:rFonts w:hint="eastAsia"/>
          <w:bCs/>
          <w:color w:val="auto"/>
          <w:sz w:val="32"/>
          <w:szCs w:val="32"/>
          <w:lang w:eastAsia="zh-CN"/>
        </w:rPr>
        <w:t>单一来源</w:t>
      </w:r>
      <w:r>
        <w:rPr>
          <w:rFonts w:hint="eastAsia"/>
          <w:bCs/>
          <w:color w:val="auto"/>
          <w:sz w:val="32"/>
          <w:szCs w:val="32"/>
        </w:rPr>
        <w:t>招标）</w:t>
      </w:r>
    </w:p>
    <w:p w14:paraId="7AAFA6A7">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color w:val="auto"/>
          <w:sz w:val="32"/>
          <w:szCs w:val="32"/>
        </w:rPr>
      </w:pPr>
    </w:p>
    <w:p w14:paraId="4A87E201">
      <w:pPr>
        <w:spacing w:line="320" w:lineRule="exact"/>
        <w:jc w:val="left"/>
        <w:rPr>
          <w:color w:val="auto"/>
          <w:sz w:val="24"/>
        </w:rPr>
      </w:pPr>
    </w:p>
    <w:p w14:paraId="2A3D08C7">
      <w:pPr>
        <w:spacing w:line="320" w:lineRule="exact"/>
        <w:ind w:firstLine="3520" w:firstLineChars="1100"/>
        <w:jc w:val="both"/>
        <w:rPr>
          <w:rFonts w:hint="eastAsia" w:ascii="宋体" w:hAnsi="宋体" w:cs="宋体"/>
          <w:bCs/>
          <w:color w:val="auto"/>
          <w:sz w:val="32"/>
          <w:szCs w:val="32"/>
        </w:rPr>
      </w:pPr>
      <w:r>
        <w:rPr>
          <w:rFonts w:hint="eastAsia" w:ascii="宋体" w:hAnsi="宋体" w:cs="宋体"/>
          <w:bCs/>
          <w:color w:val="auto"/>
          <w:sz w:val="32"/>
          <w:szCs w:val="32"/>
        </w:rPr>
        <w:t>二〇二</w:t>
      </w:r>
      <w:r>
        <w:rPr>
          <w:rFonts w:hint="eastAsia" w:ascii="宋体" w:hAnsi="宋体" w:cs="宋体"/>
          <w:bCs/>
          <w:color w:val="auto"/>
          <w:sz w:val="32"/>
          <w:szCs w:val="32"/>
          <w:lang w:val="en-US" w:eastAsia="zh-CN"/>
        </w:rPr>
        <w:t>五</w:t>
      </w:r>
      <w:r>
        <w:rPr>
          <w:rFonts w:hint="eastAsia" w:ascii="宋体" w:hAnsi="宋体" w:cs="宋体"/>
          <w:bCs/>
          <w:color w:val="auto"/>
          <w:sz w:val="32"/>
          <w:szCs w:val="32"/>
        </w:rPr>
        <w:t>年</w:t>
      </w:r>
      <w:r>
        <w:rPr>
          <w:rFonts w:hint="eastAsia" w:ascii="宋体" w:hAnsi="宋体" w:cs="宋体"/>
          <w:bCs/>
          <w:color w:val="auto"/>
          <w:sz w:val="32"/>
          <w:szCs w:val="32"/>
          <w:lang w:val="en-US" w:eastAsia="zh-CN"/>
        </w:rPr>
        <w:t>十二</w:t>
      </w:r>
      <w:r>
        <w:rPr>
          <w:rFonts w:hint="eastAsia" w:ascii="宋体" w:hAnsi="宋体" w:cs="宋体"/>
          <w:bCs/>
          <w:color w:val="auto"/>
          <w:sz w:val="32"/>
          <w:szCs w:val="32"/>
        </w:rPr>
        <w:t>月</w:t>
      </w:r>
    </w:p>
    <w:p w14:paraId="7DEFEF0B">
      <w:pPr>
        <w:rPr>
          <w:rFonts w:hint="eastAsia" w:ascii="宋体" w:hAnsi="宋体" w:cs="宋体"/>
          <w:color w:val="auto"/>
          <w:sz w:val="44"/>
          <w:szCs w:val="44"/>
          <w:lang w:val="en-US" w:eastAsia="zh-CN"/>
        </w:rPr>
      </w:pPr>
    </w:p>
    <w:p w14:paraId="3AD1AEDF">
      <w:pPr>
        <w:pStyle w:val="6"/>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bookmarkEnd w:id="0"/>
    </w:p>
    <w:p w14:paraId="1942E97C">
      <w:pPr>
        <w:pStyle w:val="5"/>
        <w:numPr>
          <w:ilvl w:val="0"/>
          <w:numId w:val="0"/>
        </w:numPr>
        <w:tabs>
          <w:tab w:val="left" w:pos="312"/>
        </w:tabs>
        <w:snapToGrid w:val="0"/>
        <w:spacing w:line="480" w:lineRule="auto"/>
        <w:ind w:firstLine="560" w:firstLineChars="200"/>
        <w:rPr>
          <w:rFonts w:hint="eastAsia"/>
          <w:bCs/>
          <w:color w:val="auto"/>
          <w:sz w:val="28"/>
          <w:szCs w:val="28"/>
        </w:rPr>
      </w:pPr>
      <w:r>
        <w:rPr>
          <w:rFonts w:hint="eastAsia"/>
          <w:bCs/>
          <w:color w:val="auto"/>
          <w:sz w:val="28"/>
          <w:szCs w:val="28"/>
          <w:lang w:val="en-US" w:eastAsia="zh-CN"/>
        </w:rPr>
        <w:t>电子健康卡接口服务进行单一来源采购，现邀请你单位</w:t>
      </w:r>
      <w:r>
        <w:rPr>
          <w:rFonts w:hint="eastAsia" w:hAnsi="Times New Roman"/>
          <w:bCs/>
          <w:color w:val="auto"/>
          <w:sz w:val="28"/>
          <w:szCs w:val="28"/>
          <w:lang w:val="en-US" w:eastAsia="zh-CN"/>
        </w:rPr>
        <w:t>（</w:t>
      </w:r>
      <w:r>
        <w:rPr>
          <w:rFonts w:hint="eastAsia"/>
          <w:bCs/>
          <w:color w:val="auto"/>
          <w:sz w:val="28"/>
          <w:szCs w:val="28"/>
          <w:lang w:val="en-US" w:eastAsia="zh-CN"/>
        </w:rPr>
        <w:t>卫宁健康科技集团股份有限公司）参加协商。</w:t>
      </w:r>
    </w:p>
    <w:p w14:paraId="502A45E6">
      <w:pPr>
        <w:pStyle w:val="5"/>
        <w:numPr>
          <w:ilvl w:val="0"/>
          <w:numId w:val="0"/>
        </w:numPr>
        <w:tabs>
          <w:tab w:val="left" w:pos="312"/>
        </w:tabs>
        <w:snapToGrid w:val="0"/>
        <w:spacing w:line="480" w:lineRule="auto"/>
        <w:ind w:firstLine="560" w:firstLineChars="200"/>
        <w:rPr>
          <w:rFonts w:hint="default" w:eastAsia="仿宋_GB2312"/>
          <w:bCs/>
          <w:color w:val="auto"/>
          <w:sz w:val="28"/>
          <w:szCs w:val="28"/>
          <w:lang w:val="en-US" w:eastAsia="zh-CN"/>
        </w:rPr>
      </w:pPr>
      <w:r>
        <w:rPr>
          <w:rFonts w:hint="eastAsia"/>
          <w:bCs/>
          <w:color w:val="auto"/>
          <w:sz w:val="28"/>
          <w:szCs w:val="28"/>
          <w:lang w:val="en-US" w:eastAsia="zh-CN"/>
        </w:rPr>
        <w:t>一、项目信息</w:t>
      </w:r>
    </w:p>
    <w:p w14:paraId="00904134">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 w:val="0"/>
          <w:bCs/>
          <w:color w:val="auto"/>
          <w:sz w:val="28"/>
          <w:szCs w:val="28"/>
          <w:lang w:val="en-US" w:eastAsia="zh-CN"/>
        </w:rPr>
        <w:t>项目名称：</w:t>
      </w:r>
      <w:r>
        <w:rPr>
          <w:rFonts w:hint="eastAsia"/>
          <w:bCs/>
          <w:color w:val="auto"/>
          <w:sz w:val="28"/>
          <w:szCs w:val="28"/>
          <w:lang w:val="en-US" w:eastAsia="zh-CN"/>
        </w:rPr>
        <w:t>电子健康卡接口服务</w:t>
      </w:r>
    </w:p>
    <w:p w14:paraId="24D6B786">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二、采购方式</w:t>
      </w:r>
    </w:p>
    <w:p w14:paraId="7E1A1611">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1、院内单一来源议价，由院内组织议价小组谈判。</w:t>
      </w:r>
    </w:p>
    <w:p w14:paraId="440ED0C9">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三、投标人资格要求</w:t>
      </w:r>
    </w:p>
    <w:p w14:paraId="5DB97AF4">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1、具有独立法人地位，营业执照具有相应的经营范围；</w:t>
      </w:r>
    </w:p>
    <w:p w14:paraId="5D596962">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2、参加政府采购活动近3年内，在经营活动中没有重大违法记录；</w:t>
      </w:r>
    </w:p>
    <w:p w14:paraId="096B81BF">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3、投标人未列入经营异常名录和未列入严重违法失信企业名单（黑名单），投标人企业法人代表未被列入失信被执行人名单；</w:t>
      </w:r>
    </w:p>
    <w:p w14:paraId="33B8B191">
      <w:pPr>
        <w:pStyle w:val="5"/>
        <w:numPr>
          <w:ilvl w:val="0"/>
          <w:numId w:val="0"/>
        </w:numPr>
        <w:tabs>
          <w:tab w:val="left" w:pos="312"/>
        </w:tabs>
        <w:snapToGrid w:val="0"/>
        <w:spacing w:line="480" w:lineRule="auto"/>
        <w:ind w:firstLine="840" w:firstLineChars="300"/>
        <w:rPr>
          <w:rFonts w:hint="eastAsia"/>
          <w:bCs/>
          <w:color w:val="auto"/>
          <w:sz w:val="28"/>
          <w:szCs w:val="28"/>
          <w:lang w:val="en-US" w:eastAsia="zh-CN"/>
        </w:rPr>
      </w:pPr>
      <w:r>
        <w:rPr>
          <w:rFonts w:hint="eastAsia"/>
          <w:bCs/>
          <w:color w:val="auto"/>
          <w:sz w:val="28"/>
          <w:szCs w:val="28"/>
          <w:lang w:val="en-US" w:eastAsia="zh-CN"/>
        </w:rPr>
        <w:t>投标人在“信用中国”（www.creditchina.gov.cn）、中国政府采购网（www.ccgp.gov.cn）等网站，未被列入“失信被执行人”、“重大税收违法案件当事人名单”、“政府采购严重违法失信行为记录名单”；</w:t>
      </w:r>
    </w:p>
    <w:p w14:paraId="31C493A3">
      <w:pPr>
        <w:pStyle w:val="5"/>
        <w:numPr>
          <w:ilvl w:val="0"/>
          <w:numId w:val="0"/>
        </w:numPr>
        <w:tabs>
          <w:tab w:val="left" w:pos="312"/>
        </w:tabs>
        <w:snapToGrid w:val="0"/>
        <w:spacing w:line="480" w:lineRule="auto"/>
        <w:ind w:firstLine="560" w:firstLineChars="200"/>
        <w:rPr>
          <w:rFonts w:hint="default"/>
          <w:bCs/>
          <w:color w:val="auto"/>
          <w:sz w:val="28"/>
          <w:szCs w:val="28"/>
          <w:lang w:val="en-US" w:eastAsia="zh-CN"/>
        </w:rPr>
      </w:pPr>
      <w:r>
        <w:rPr>
          <w:rFonts w:hint="eastAsia"/>
          <w:bCs/>
          <w:color w:val="auto"/>
          <w:sz w:val="28"/>
          <w:szCs w:val="28"/>
          <w:lang w:val="en-US" w:eastAsia="zh-CN"/>
        </w:rPr>
        <w:t>4、投标人必须满足采购要求。</w:t>
      </w:r>
    </w:p>
    <w:p w14:paraId="4D779DB1">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四、投标截止时间、开标时间及地点：</w:t>
      </w:r>
    </w:p>
    <w:p w14:paraId="396E2A40">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1、报名方式及报名内容：包含但不限于将以下信息发至邮箱（28693680@QQ,COM）参与项目名称、公司名称、联系人、联系方式，公司相关资质等；</w:t>
      </w:r>
    </w:p>
    <w:p w14:paraId="3F6D4967">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2、报名截止时间：自本报名信息发布之日起5个工作日；</w:t>
      </w:r>
    </w:p>
    <w:p w14:paraId="2012B7FF">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3、开标时间：2025年</w:t>
      </w:r>
      <w:r>
        <w:rPr>
          <w:rFonts w:hint="eastAsia" w:cs="仿宋_GB2312"/>
          <w:bCs/>
          <w:color w:val="auto"/>
          <w:kern w:val="0"/>
          <w:sz w:val="28"/>
          <w:szCs w:val="28"/>
          <w:lang w:val="en-US" w:eastAsia="zh-CN" w:bidi="ar-SA"/>
        </w:rPr>
        <w:t>12</w:t>
      </w:r>
      <w:r>
        <w:rPr>
          <w:rFonts w:hint="eastAsia" w:ascii="仿宋_GB2312" w:hAnsi="Times New Roman" w:eastAsia="仿宋_GB2312" w:cs="仿宋_GB2312"/>
          <w:bCs/>
          <w:color w:val="auto"/>
          <w:kern w:val="0"/>
          <w:sz w:val="28"/>
          <w:szCs w:val="28"/>
          <w:lang w:val="en-US" w:eastAsia="zh-CN" w:bidi="ar-SA"/>
        </w:rPr>
        <w:t>月</w:t>
      </w:r>
      <w:r>
        <w:rPr>
          <w:rFonts w:hint="eastAsia" w:cs="仿宋_GB2312"/>
          <w:bCs/>
          <w:color w:val="auto"/>
          <w:kern w:val="0"/>
          <w:sz w:val="28"/>
          <w:szCs w:val="28"/>
          <w:lang w:val="en-US" w:eastAsia="zh-CN" w:bidi="ar-SA"/>
        </w:rPr>
        <w:t>18</w:t>
      </w:r>
      <w:r>
        <w:rPr>
          <w:rFonts w:hint="eastAsia" w:ascii="仿宋_GB2312" w:hAnsi="Times New Roman" w:eastAsia="仿宋_GB2312" w:cs="仿宋_GB2312"/>
          <w:bCs/>
          <w:color w:val="auto"/>
          <w:kern w:val="0"/>
          <w:sz w:val="28"/>
          <w:szCs w:val="28"/>
          <w:lang w:val="en-US" w:eastAsia="zh-CN" w:bidi="ar-SA"/>
        </w:rPr>
        <w:t>日</w:t>
      </w:r>
      <w:r>
        <w:rPr>
          <w:rFonts w:hint="eastAsia" w:cs="仿宋_GB2312"/>
          <w:bCs/>
          <w:color w:val="auto"/>
          <w:kern w:val="0"/>
          <w:sz w:val="28"/>
          <w:szCs w:val="28"/>
          <w:lang w:val="en-US" w:eastAsia="zh-CN" w:bidi="ar-SA"/>
        </w:rPr>
        <w:t>9:3</w:t>
      </w:r>
      <w:bookmarkStart w:id="4" w:name="_GoBack"/>
      <w:bookmarkEnd w:id="4"/>
      <w:r>
        <w:rPr>
          <w:rFonts w:hint="eastAsia" w:cs="仿宋_GB2312"/>
          <w:bCs/>
          <w:color w:val="auto"/>
          <w:kern w:val="0"/>
          <w:sz w:val="28"/>
          <w:szCs w:val="28"/>
          <w:lang w:val="en-US" w:eastAsia="zh-CN" w:bidi="ar-SA"/>
        </w:rPr>
        <w:t>0</w:t>
      </w:r>
      <w:r>
        <w:rPr>
          <w:rFonts w:hint="eastAsia" w:ascii="仿宋_GB2312" w:hAnsi="Times New Roman" w:eastAsia="仿宋_GB2312" w:cs="仿宋_GB2312"/>
          <w:bCs/>
          <w:color w:val="auto"/>
          <w:kern w:val="0"/>
          <w:sz w:val="28"/>
          <w:szCs w:val="28"/>
          <w:lang w:val="en-US" w:eastAsia="zh-CN" w:bidi="ar-SA"/>
        </w:rPr>
        <w:t>；</w:t>
      </w:r>
    </w:p>
    <w:p w14:paraId="0F04DBBD">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4、开标地点;娄底市中心医院综合楼420室。</w:t>
      </w:r>
    </w:p>
    <w:p w14:paraId="76911C32">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五、招标人地址和联系方法：</w:t>
      </w:r>
    </w:p>
    <w:p w14:paraId="04494687">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1、招标人名称：娄底市中心医院</w:t>
      </w:r>
    </w:p>
    <w:p w14:paraId="22CFF104">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2、联系人及联系方式：廖海星 15873871616</w:t>
      </w:r>
    </w:p>
    <w:p w14:paraId="5141471F">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3、招标人地址：娄底市长青中街51号</w:t>
      </w:r>
    </w:p>
    <w:p w14:paraId="376A01D2">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六、投标须知</w:t>
      </w:r>
    </w:p>
    <w:p w14:paraId="2256C154">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1、否决投标的情形：</w:t>
      </w:r>
    </w:p>
    <w:p w14:paraId="00C887C9">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1.1、投标人以他人名义投标、串通投标、以行贿手段谋取中标的；</w:t>
      </w:r>
    </w:p>
    <w:p w14:paraId="32666238">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1.2、资格评审时，投标人资格条件不符合国家有关规定或者招标文件要求的，或者拒不按照要求对投标文件进行澄清、说明或补正，或者其说明补正无法证明其为合格投标人的；</w:t>
      </w:r>
    </w:p>
    <w:p w14:paraId="02DB57C6">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1.3、评标委员会认定投标人以低于成本报价竞标的；</w:t>
      </w:r>
    </w:p>
    <w:p w14:paraId="12A7472B">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1.4、投标人未按照要求出席开标会的；</w:t>
      </w:r>
    </w:p>
    <w:p w14:paraId="43B3A0F6">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1.5、投标报价有错误的，评标委员会将要求投标人作出书面澄清说明和确认，投标人拒不作出澄清说明和确认的；</w:t>
      </w:r>
    </w:p>
    <w:p w14:paraId="322FAE91">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1.6、投标文件存在弄虚作假或者隐瞒事实，或者未按照招标文件要求如实提供有关情况和文件，以及证明资料且对投标人有利的，应当否决其投标。被列为中标候选人的，应当取消其中标候选人资格。</w:t>
      </w:r>
    </w:p>
    <w:p w14:paraId="573EED2D">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bCs/>
          <w:color w:val="auto"/>
          <w:sz w:val="28"/>
          <w:szCs w:val="28"/>
          <w:lang w:val="en-US" w:eastAsia="zh-CN"/>
        </w:rPr>
      </w:pPr>
      <w:r>
        <w:rPr>
          <w:rFonts w:hint="eastAsia" w:cs="仿宋_GB2312"/>
          <w:bCs/>
          <w:color w:val="auto"/>
          <w:kern w:val="0"/>
          <w:sz w:val="28"/>
          <w:szCs w:val="28"/>
          <w:lang w:val="en-US" w:eastAsia="zh-CN" w:bidi="ar-SA"/>
        </w:rPr>
        <w:t>1.7、</w:t>
      </w:r>
      <w:r>
        <w:rPr>
          <w:rFonts w:hint="eastAsia" w:ascii="仿宋_GB2312" w:hAnsi="Times New Roman" w:eastAsia="仿宋_GB2312" w:cs="仿宋_GB2312"/>
          <w:bCs/>
          <w:color w:val="auto"/>
          <w:kern w:val="0"/>
          <w:sz w:val="28"/>
          <w:szCs w:val="28"/>
          <w:lang w:val="en-US" w:eastAsia="zh-CN" w:bidi="ar-SA"/>
        </w:rPr>
        <w:t>投标单位必须提供纸质投标文件及电子版投标文件（PDF格式签字盖章版本）</w:t>
      </w:r>
    </w:p>
    <w:p w14:paraId="3BF45C53">
      <w:pPr>
        <w:pStyle w:val="5"/>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sectPr>
          <w:headerReference r:id="rId3" w:type="default"/>
          <w:footerReference r:id="rId4" w:type="default"/>
          <w:pgSz w:w="11906" w:h="16838"/>
          <w:pgMar w:top="1191" w:right="1587" w:bottom="1020" w:left="1587" w:header="567" w:footer="283" w:gutter="0"/>
          <w:pgNumType w:start="1"/>
          <w:cols w:space="720" w:num="1"/>
          <w:docGrid w:linePitch="312" w:charSpace="0"/>
        </w:sectPr>
      </w:pPr>
    </w:p>
    <w:p w14:paraId="2681AF96">
      <w:pPr>
        <w:pStyle w:val="5"/>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14:paraId="72B21CD7">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一、采购清单、采购项目交付或者实施的时间和地点</w:t>
      </w:r>
    </w:p>
    <w:p w14:paraId="700B38FA">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1.采购项目</w:t>
      </w:r>
    </w:p>
    <w:tbl>
      <w:tblPr>
        <w:tblStyle w:val="11"/>
        <w:tblW w:w="75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0"/>
        <w:gridCol w:w="4794"/>
        <w:gridCol w:w="1972"/>
      </w:tblGrid>
      <w:tr w14:paraId="23C69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0" w:type="dxa"/>
            <w:tcBorders>
              <w:top w:val="single" w:color="auto" w:sz="4" w:space="0"/>
              <w:left w:val="single" w:color="auto" w:sz="4" w:space="0"/>
              <w:bottom w:val="single" w:color="auto" w:sz="4" w:space="0"/>
              <w:right w:val="single" w:color="auto" w:sz="4" w:space="0"/>
            </w:tcBorders>
            <w:vAlign w:val="center"/>
          </w:tcPr>
          <w:p w14:paraId="0234787C">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序号</w:t>
            </w:r>
          </w:p>
        </w:tc>
        <w:tc>
          <w:tcPr>
            <w:tcW w:w="4794" w:type="dxa"/>
            <w:tcBorders>
              <w:top w:val="single" w:color="auto" w:sz="4" w:space="0"/>
              <w:left w:val="single" w:color="auto" w:sz="4" w:space="0"/>
              <w:bottom w:val="single" w:color="auto" w:sz="4" w:space="0"/>
              <w:right w:val="single" w:color="auto" w:sz="4" w:space="0"/>
            </w:tcBorders>
            <w:vAlign w:val="center"/>
          </w:tcPr>
          <w:p w14:paraId="027A334F">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项目名称</w:t>
            </w:r>
          </w:p>
        </w:tc>
        <w:tc>
          <w:tcPr>
            <w:tcW w:w="1972" w:type="dxa"/>
            <w:tcBorders>
              <w:top w:val="single" w:color="auto" w:sz="4" w:space="0"/>
              <w:left w:val="single" w:color="auto" w:sz="4" w:space="0"/>
              <w:bottom w:val="single" w:color="auto" w:sz="4" w:space="0"/>
              <w:right w:val="single" w:color="auto" w:sz="4" w:space="0"/>
            </w:tcBorders>
            <w:vAlign w:val="center"/>
          </w:tcPr>
          <w:p w14:paraId="5AC4DFF1">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控制价</w:t>
            </w:r>
          </w:p>
        </w:tc>
      </w:tr>
      <w:tr w14:paraId="02664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780" w:type="dxa"/>
            <w:tcBorders>
              <w:top w:val="single" w:color="auto" w:sz="4" w:space="0"/>
              <w:left w:val="single" w:color="auto" w:sz="4" w:space="0"/>
              <w:bottom w:val="single" w:color="auto" w:sz="4" w:space="0"/>
              <w:right w:val="single" w:color="auto" w:sz="4" w:space="0"/>
            </w:tcBorders>
            <w:vAlign w:val="center"/>
          </w:tcPr>
          <w:p w14:paraId="0A045F8C">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1</w:t>
            </w:r>
          </w:p>
        </w:tc>
        <w:tc>
          <w:tcPr>
            <w:tcW w:w="4794" w:type="dxa"/>
            <w:tcBorders>
              <w:top w:val="single" w:color="auto" w:sz="4" w:space="0"/>
              <w:left w:val="single" w:color="auto" w:sz="4" w:space="0"/>
              <w:bottom w:val="single" w:color="auto" w:sz="4" w:space="0"/>
              <w:right w:val="single" w:color="auto" w:sz="4" w:space="0"/>
            </w:tcBorders>
            <w:vAlign w:val="center"/>
          </w:tcPr>
          <w:p w14:paraId="5B55D82A">
            <w:pPr>
              <w:spacing w:line="360" w:lineRule="auto"/>
              <w:jc w:val="center"/>
              <w:rPr>
                <w:rFonts w:hint="eastAsia" w:ascii="仿宋_GB2312" w:hAnsi="Times New Roman" w:eastAsia="仿宋" w:cs="仿宋_GB2312"/>
                <w:bCs/>
                <w:color w:val="auto"/>
                <w:kern w:val="0"/>
                <w:sz w:val="28"/>
                <w:szCs w:val="28"/>
                <w:lang w:val="en-US" w:eastAsia="zh-CN" w:bidi="ar-SA"/>
              </w:rPr>
            </w:pPr>
            <w:r>
              <w:rPr>
                <w:rFonts w:hint="eastAsia" w:ascii="仿宋" w:hAnsi="仿宋" w:eastAsia="仿宋" w:cs="仿宋"/>
                <w:i w:val="0"/>
                <w:iCs w:val="0"/>
                <w:caps w:val="0"/>
                <w:color w:val="000000"/>
                <w:spacing w:val="0"/>
                <w:sz w:val="28"/>
                <w:szCs w:val="28"/>
                <w:shd w:val="clear" w:fill="FFFFFF"/>
                <w:lang w:eastAsia="zh-CN"/>
              </w:rPr>
              <w:t>电子健康卡接口服务</w:t>
            </w:r>
          </w:p>
        </w:tc>
        <w:tc>
          <w:tcPr>
            <w:tcW w:w="1972" w:type="dxa"/>
            <w:tcBorders>
              <w:top w:val="single" w:color="auto" w:sz="4" w:space="0"/>
              <w:left w:val="single" w:color="auto" w:sz="4" w:space="0"/>
              <w:bottom w:val="single" w:color="auto" w:sz="4" w:space="0"/>
              <w:right w:val="single" w:color="auto" w:sz="4" w:space="0"/>
            </w:tcBorders>
            <w:vAlign w:val="center"/>
          </w:tcPr>
          <w:p w14:paraId="06F8C9A7">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5万元</w:t>
            </w:r>
          </w:p>
        </w:tc>
      </w:tr>
    </w:tbl>
    <w:p w14:paraId="20066291">
      <w:pPr>
        <w:spacing w:line="360" w:lineRule="auto"/>
        <w:rPr>
          <w:rFonts w:hint="default" w:ascii="仿宋_GB2312" w:hAnsi="Times New Roman" w:eastAsia="仿宋_GB2312" w:cs="仿宋_GB2312"/>
          <w:bCs/>
          <w:color w:val="auto"/>
          <w:kern w:val="0"/>
          <w:sz w:val="28"/>
          <w:szCs w:val="28"/>
          <w:lang w:val="en-US" w:eastAsia="zh-CN" w:bidi="ar-SA"/>
        </w:rPr>
      </w:pPr>
    </w:p>
    <w:p w14:paraId="28FBC793">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2、服务时间：双方签订合同时具体约定。</w:t>
      </w:r>
    </w:p>
    <w:p w14:paraId="2A17AEB7">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3、服务地点：娄底市中心医院。</w:t>
      </w:r>
    </w:p>
    <w:p w14:paraId="5F0F1D7F">
      <w:pPr>
        <w:spacing w:line="360" w:lineRule="auto"/>
        <w:ind w:firstLine="560" w:firstLineChars="200"/>
        <w:rPr>
          <w:rFonts w:hint="eastAsia" w:ascii="仿宋_GB2312"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二、项目内容及要求</w:t>
      </w:r>
    </w:p>
    <w:p w14:paraId="4220F761">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按2023年11月由国家卫生健康委统计信息中心提供的《国家卫生健康委统计信息中心关于印发《医疗卫生机构患者主索引标准统一技术指南（2023版）》的通知》、《附件2电子健康卡建设与管理指南V3.1》、《附件3湖南省电子健康卡系统应用接口规范 V3.0 》予以开发。</w:t>
      </w:r>
    </w:p>
    <w:p w14:paraId="12E9DCF8">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三、</w:t>
      </w:r>
      <w:r>
        <w:rPr>
          <w:rFonts w:hint="default" w:ascii="仿宋_GB2312" w:hAnsi="Times New Roman" w:eastAsia="仿宋_GB2312" w:cs="仿宋_GB2312"/>
          <w:bCs/>
          <w:color w:val="auto"/>
          <w:kern w:val="0"/>
          <w:sz w:val="28"/>
          <w:szCs w:val="28"/>
          <w:lang w:val="en-US" w:eastAsia="zh-CN" w:bidi="ar-SA"/>
        </w:rPr>
        <w:t>标书要求</w:t>
      </w:r>
    </w:p>
    <w:p w14:paraId="09BAED1A">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1、封面：需注明标的名称、投标文件、单位、时间；</w:t>
      </w:r>
    </w:p>
    <w:p w14:paraId="5103DBA2">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2、“三证合一”或“五证合一”营业执照；</w:t>
      </w:r>
    </w:p>
    <w:p w14:paraId="5CA35B9C">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3、投标人身份证复印件；</w:t>
      </w:r>
    </w:p>
    <w:p w14:paraId="6018D155">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14:paraId="4983D381">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5</w:t>
      </w:r>
      <w:r>
        <w:rPr>
          <w:rFonts w:hint="eastAsia" w:ascii="仿宋_GB2312" w:hAnsi="Times New Roman" w:eastAsia="仿宋_GB2312" w:cs="仿宋_GB2312"/>
          <w:bCs/>
          <w:color w:val="auto"/>
          <w:kern w:val="0"/>
          <w:sz w:val="28"/>
          <w:szCs w:val="28"/>
          <w:lang w:val="en-US" w:eastAsia="zh-CN" w:bidi="ar-SA"/>
        </w:rPr>
        <w:t>、履行本项目所必需的资质证明；</w:t>
      </w:r>
    </w:p>
    <w:p w14:paraId="003D680E">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6、针对此项目的技术、服务方案；</w:t>
      </w:r>
    </w:p>
    <w:p w14:paraId="78141301">
      <w:pPr>
        <w:spacing w:line="360" w:lineRule="auto"/>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7、投标人认为需提供的其他和评审有关的资料；</w:t>
      </w:r>
    </w:p>
    <w:p w14:paraId="518F3960">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8、投标文件的每一页都必须加盖投标单位的公章；</w:t>
      </w:r>
    </w:p>
    <w:p w14:paraId="36E11B96">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9</w:t>
      </w:r>
      <w:r>
        <w:rPr>
          <w:rFonts w:hint="eastAsia" w:ascii="仿宋_GB2312" w:hAnsi="Times New Roman" w:eastAsia="仿宋_GB2312" w:cs="仿宋_GB2312"/>
          <w:bCs/>
          <w:color w:val="auto"/>
          <w:kern w:val="0"/>
          <w:sz w:val="28"/>
          <w:szCs w:val="28"/>
          <w:lang w:val="en-US" w:eastAsia="zh-CN" w:bidi="ar-SA"/>
        </w:rPr>
        <w:t>、投标文件必须胶装并用纸质文件袋封好（一正</w:t>
      </w:r>
      <w:r>
        <w:rPr>
          <w:rFonts w:hint="eastAsia" w:ascii="仿宋_GB2312" w:eastAsia="仿宋_GB2312" w:cs="仿宋_GB2312"/>
          <w:bCs/>
          <w:color w:val="auto"/>
          <w:kern w:val="0"/>
          <w:sz w:val="28"/>
          <w:szCs w:val="28"/>
          <w:lang w:val="en-US" w:eastAsia="zh-CN" w:bidi="ar-SA"/>
        </w:rPr>
        <w:t>一</w:t>
      </w:r>
      <w:r>
        <w:rPr>
          <w:rFonts w:hint="eastAsia" w:ascii="仿宋_GB2312" w:hAnsi="Times New Roman" w:eastAsia="仿宋_GB2312" w:cs="仿宋_GB2312"/>
          <w:bCs/>
          <w:color w:val="auto"/>
          <w:kern w:val="0"/>
          <w:sz w:val="28"/>
          <w:szCs w:val="28"/>
          <w:lang w:val="en-US" w:eastAsia="zh-CN" w:bidi="ar-SA"/>
        </w:rPr>
        <w:t>副），封口加盖单位公章，在开标现场验证时打开，采用现场开标的方式。</w:t>
      </w:r>
    </w:p>
    <w:p w14:paraId="12B8EF8F">
      <w:pPr>
        <w:pStyle w:val="14"/>
        <w:rPr>
          <w:rFonts w:hint="eastAsia" w:ascii="仿宋_GB2312" w:hAnsi="Times New Roman" w:eastAsia="仿宋_GB2312" w:cs="仿宋_GB2312"/>
          <w:bCs/>
          <w:color w:val="auto"/>
          <w:kern w:val="0"/>
          <w:sz w:val="28"/>
          <w:szCs w:val="28"/>
          <w:lang w:val="en-US" w:eastAsia="zh-CN" w:bidi="ar-SA"/>
        </w:rPr>
      </w:pPr>
    </w:p>
    <w:p w14:paraId="3D23BBD7">
      <w:pPr>
        <w:rPr>
          <w:rFonts w:hint="eastAsia"/>
          <w:bCs/>
          <w:color w:val="auto"/>
          <w:sz w:val="28"/>
          <w:szCs w:val="28"/>
          <w:lang w:val="en-US" w:eastAsia="zh-CN"/>
        </w:rPr>
      </w:pPr>
      <w:bookmarkStart w:id="1" w:name="_Toc16523574"/>
      <w:r>
        <w:rPr>
          <w:rFonts w:hint="eastAsia"/>
          <w:bCs/>
          <w:color w:val="auto"/>
          <w:sz w:val="28"/>
          <w:szCs w:val="28"/>
          <w:lang w:val="en-US" w:eastAsia="zh-CN"/>
        </w:rPr>
        <w:br w:type="page"/>
      </w:r>
    </w:p>
    <w:p w14:paraId="7291EA13">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 xml:space="preserve">                                                      合同编号：</w:t>
      </w:r>
    </w:p>
    <w:p w14:paraId="50004797">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宋体" w:hAnsi="宋体" w:eastAsia="宋体" w:cs="宋体"/>
          <w:color w:val="auto"/>
          <w:sz w:val="28"/>
          <w:szCs w:val="28"/>
          <w:lang w:val="en-US" w:eastAsia="zh-CN"/>
        </w:rPr>
      </w:pPr>
      <w:r>
        <w:rPr>
          <w:rFonts w:hint="eastAsia" w:ascii="黑体" w:hAnsi="黑体" w:eastAsia="黑体" w:cs="黑体"/>
          <w:color w:val="auto"/>
          <w:sz w:val="44"/>
          <w:szCs w:val="44"/>
          <w:lang w:val="en-US" w:eastAsia="zh-CN"/>
        </w:rPr>
        <w:t>接口服务合同</w:t>
      </w:r>
    </w:p>
    <w:p w14:paraId="3CBBCE09">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宋体" w:hAnsi="宋体" w:eastAsia="宋体" w:cs="宋体"/>
          <w:color w:val="auto"/>
          <w:sz w:val="28"/>
          <w:szCs w:val="28"/>
          <w:lang w:val="en-US" w:eastAsia="zh-CN"/>
        </w:rPr>
      </w:pPr>
    </w:p>
    <w:p w14:paraId="66ECCD37">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宋体" w:hAnsi="宋体" w:eastAsia="宋体" w:cs="宋体"/>
          <w:b/>
          <w:bCs/>
          <w:color w:val="auto"/>
          <w:sz w:val="28"/>
          <w:szCs w:val="28"/>
          <w:lang w:val="en-US" w:eastAsia="zh-CN"/>
        </w:rPr>
      </w:pPr>
      <w:r>
        <w:rPr>
          <w:rFonts w:hint="eastAsia" w:ascii="宋体" w:hAnsi="宋体" w:eastAsia="宋体" w:cs="宋体"/>
          <w:b/>
          <w:bCs/>
          <w:color w:val="auto"/>
          <w:sz w:val="28"/>
          <w:szCs w:val="28"/>
          <w:lang w:val="en-US" w:eastAsia="zh-CN"/>
        </w:rPr>
        <w:t>甲方：娄底市中心医院</w:t>
      </w:r>
    </w:p>
    <w:p w14:paraId="74B4FC63">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统一社会信用代码：12431300447162073W</w:t>
      </w:r>
    </w:p>
    <w:p w14:paraId="23A35B0A">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宋体" w:hAnsi="宋体" w:eastAsia="宋体" w:cs="宋体"/>
          <w:b/>
          <w:bCs/>
          <w:color w:val="auto"/>
          <w:sz w:val="28"/>
          <w:szCs w:val="28"/>
          <w:lang w:val="en-US" w:eastAsia="zh-CN"/>
        </w:rPr>
      </w:pPr>
      <w:r>
        <w:rPr>
          <w:rFonts w:hint="eastAsia" w:ascii="宋体" w:hAnsi="宋体" w:eastAsia="宋体" w:cs="宋体"/>
          <w:b/>
          <w:bCs/>
          <w:color w:val="auto"/>
          <w:sz w:val="28"/>
          <w:szCs w:val="28"/>
          <w:lang w:val="en-US" w:eastAsia="zh-CN"/>
        </w:rPr>
        <w:t>乙方：卫宁健康科技集团股份有限公司</w:t>
      </w:r>
    </w:p>
    <w:p w14:paraId="7D8097D2">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统一社会信用代码：91310000759874061E</w:t>
      </w:r>
    </w:p>
    <w:p w14:paraId="5B9EB326">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宋体" w:hAnsi="宋体" w:eastAsia="宋体" w:cs="宋体"/>
          <w:color w:val="auto"/>
          <w:sz w:val="28"/>
          <w:szCs w:val="28"/>
          <w:lang w:val="en-US" w:eastAsia="zh-CN"/>
        </w:rPr>
      </w:pPr>
    </w:p>
    <w:p w14:paraId="2FD3C31C">
      <w:pPr>
        <w:keepNext w:val="0"/>
        <w:keepLines w:val="0"/>
        <w:pageBreakBefore w:val="0"/>
        <w:widowControl w:val="0"/>
        <w:kinsoku/>
        <w:wordWrap/>
        <w:overflowPunct/>
        <w:topLinePunct w:val="0"/>
        <w:autoSpaceDE/>
        <w:autoSpaceDN/>
        <w:bidi w:val="0"/>
        <w:adjustRightInd/>
        <w:snapToGrid/>
        <w:spacing w:line="460" w:lineRule="exact"/>
        <w:ind w:firstLine="560" w:firstLineChars="200"/>
        <w:jc w:val="both"/>
        <w:textAlignment w:val="auto"/>
        <w:rPr>
          <w:rFonts w:hint="eastAsia" w:ascii="宋体" w:hAnsi="宋体" w:eastAsia="宋体" w:cs="宋体"/>
          <w:color w:val="auto"/>
          <w:sz w:val="28"/>
          <w:szCs w:val="28"/>
          <w:lang w:val="en-US" w:eastAsia="zh-CN"/>
        </w:rPr>
      </w:pPr>
      <w:r>
        <w:rPr>
          <w:rFonts w:hint="eastAsia" w:ascii="宋体" w:hAnsi="宋体" w:cs="宋体"/>
          <w:color w:val="auto"/>
          <w:sz w:val="28"/>
          <w:szCs w:val="28"/>
          <w:lang w:val="en-US" w:eastAsia="zh-CN"/>
        </w:rPr>
        <w:t>甲方</w:t>
      </w:r>
      <w:r>
        <w:rPr>
          <w:rFonts w:hint="eastAsia" w:ascii="宋体" w:hAnsi="宋体" w:eastAsia="宋体" w:cs="宋体"/>
          <w:color w:val="auto"/>
          <w:sz w:val="28"/>
          <w:szCs w:val="28"/>
          <w:lang w:val="en-US" w:eastAsia="zh-CN"/>
        </w:rPr>
        <w:t>需实现</w:t>
      </w:r>
      <w:r>
        <w:rPr>
          <w:rFonts w:hint="eastAsia" w:ascii="宋体" w:hAnsi="宋体" w:cs="宋体"/>
          <w:color w:val="auto"/>
          <w:sz w:val="28"/>
          <w:szCs w:val="28"/>
          <w:u w:val="none"/>
          <w:lang w:val="en-US" w:eastAsia="zh-CN"/>
        </w:rPr>
        <w:t>住院病历学员管理</w:t>
      </w:r>
      <w:r>
        <w:rPr>
          <w:rFonts w:hint="eastAsia" w:ascii="宋体" w:hAnsi="宋体" w:cs="宋体"/>
          <w:color w:val="auto"/>
          <w:sz w:val="28"/>
          <w:szCs w:val="28"/>
          <w:lang w:val="en-US" w:eastAsia="zh-CN"/>
        </w:rPr>
        <w:t>，</w:t>
      </w:r>
      <w:r>
        <w:rPr>
          <w:rFonts w:hint="eastAsia" w:ascii="宋体" w:hAnsi="宋体" w:eastAsia="宋体" w:cs="宋体"/>
          <w:color w:val="auto"/>
          <w:sz w:val="28"/>
          <w:szCs w:val="28"/>
          <w:lang w:val="en-US" w:eastAsia="zh-CN"/>
        </w:rPr>
        <w:t>因</w:t>
      </w:r>
      <w:r>
        <w:rPr>
          <w:rFonts w:hint="eastAsia" w:ascii="宋体" w:hAnsi="宋体" w:cs="宋体"/>
          <w:color w:val="auto"/>
          <w:sz w:val="28"/>
          <w:szCs w:val="28"/>
          <w:u w:val="single"/>
          <w:lang w:val="en-US" w:eastAsia="zh-CN"/>
        </w:rPr>
        <w:t>电子健康卡3.0接口改造服务</w:t>
      </w:r>
      <w:r>
        <w:rPr>
          <w:rFonts w:hint="eastAsia" w:ascii="宋体" w:hAnsi="宋体" w:eastAsia="宋体" w:cs="宋体"/>
          <w:color w:val="auto"/>
          <w:sz w:val="28"/>
          <w:szCs w:val="28"/>
          <w:lang w:val="en-US" w:eastAsia="zh-CN"/>
        </w:rPr>
        <w:t>须</w:t>
      </w:r>
      <w:r>
        <w:rPr>
          <w:rFonts w:hint="eastAsia" w:ascii="宋体" w:hAnsi="宋体" w:cs="宋体"/>
          <w:color w:val="auto"/>
          <w:sz w:val="28"/>
          <w:szCs w:val="28"/>
          <w:lang w:val="en-US" w:eastAsia="zh-CN"/>
        </w:rPr>
        <w:t>在</w:t>
      </w:r>
      <w:r>
        <w:rPr>
          <w:rFonts w:hint="eastAsia" w:ascii="宋体" w:hAnsi="宋体" w:eastAsia="宋体" w:cs="宋体"/>
          <w:color w:val="auto"/>
          <w:sz w:val="28"/>
          <w:szCs w:val="28"/>
          <w:lang w:val="en-US" w:eastAsia="zh-CN"/>
        </w:rPr>
        <w:t>医院HIS系统</w:t>
      </w:r>
      <w:r>
        <w:rPr>
          <w:rFonts w:hint="eastAsia" w:ascii="宋体" w:hAnsi="宋体" w:cs="宋体"/>
          <w:color w:val="auto"/>
          <w:sz w:val="28"/>
          <w:szCs w:val="28"/>
          <w:lang w:val="en-US" w:eastAsia="zh-CN"/>
        </w:rPr>
        <w:t>进行改造，</w:t>
      </w:r>
      <w:r>
        <w:rPr>
          <w:rFonts w:hint="eastAsia" w:ascii="宋体" w:hAnsi="宋体" w:eastAsia="宋体" w:cs="宋体"/>
          <w:color w:val="auto"/>
          <w:sz w:val="28"/>
          <w:szCs w:val="28"/>
          <w:lang w:val="en-US" w:eastAsia="zh-CN"/>
        </w:rPr>
        <w:t>乙方为HIS系统软件开发商，现甲方采用院内单一来源采购方式向乙方采购</w:t>
      </w:r>
      <w:r>
        <w:rPr>
          <w:rFonts w:hint="eastAsia" w:ascii="宋体" w:hAnsi="宋体" w:cs="宋体"/>
          <w:color w:val="auto"/>
          <w:sz w:val="28"/>
          <w:szCs w:val="28"/>
          <w:u w:val="single"/>
          <w:lang w:val="en-US" w:eastAsia="zh-CN"/>
        </w:rPr>
        <w:t>电子健康卡3.0接口改造服务</w:t>
      </w:r>
      <w:r>
        <w:rPr>
          <w:rFonts w:hint="eastAsia" w:ascii="宋体" w:hAnsi="宋体" w:eastAsia="宋体" w:cs="宋体"/>
          <w:color w:val="auto"/>
          <w:sz w:val="28"/>
          <w:szCs w:val="28"/>
          <w:lang w:val="en-US" w:eastAsia="zh-CN"/>
        </w:rPr>
        <w:t>。根据《中华人民共和国民法典》及相关法律法规规定，甲乙双方就</w:t>
      </w:r>
      <w:r>
        <w:rPr>
          <w:rFonts w:hint="eastAsia" w:ascii="宋体" w:hAnsi="宋体" w:cs="宋体"/>
          <w:color w:val="auto"/>
          <w:sz w:val="28"/>
          <w:szCs w:val="28"/>
          <w:u w:val="single"/>
          <w:lang w:val="en-US" w:eastAsia="zh-CN"/>
        </w:rPr>
        <w:t>电子健康卡3.0接口改造服务</w:t>
      </w:r>
      <w:r>
        <w:rPr>
          <w:rFonts w:hint="eastAsia" w:ascii="宋体" w:hAnsi="宋体" w:eastAsia="宋体" w:cs="宋体"/>
          <w:color w:val="auto"/>
          <w:sz w:val="28"/>
          <w:szCs w:val="28"/>
          <w:lang w:val="en-US" w:eastAsia="zh-CN"/>
        </w:rPr>
        <w:t>事宜协商一致，特订立本合同，以资共同遵守。</w:t>
      </w:r>
    </w:p>
    <w:p w14:paraId="2CFC431E">
      <w:pPr>
        <w:keepNext w:val="0"/>
        <w:keepLines w:val="0"/>
        <w:pageBreakBefore w:val="0"/>
        <w:widowControl w:val="0"/>
        <w:kinsoku/>
        <w:wordWrap/>
        <w:overflowPunct/>
        <w:topLinePunct w:val="0"/>
        <w:autoSpaceDE/>
        <w:autoSpaceDN/>
        <w:bidi w:val="0"/>
        <w:adjustRightInd/>
        <w:snapToGrid/>
        <w:spacing w:line="460" w:lineRule="exact"/>
        <w:ind w:firstLine="562" w:firstLineChars="200"/>
        <w:jc w:val="both"/>
        <w:textAlignment w:val="auto"/>
        <w:rPr>
          <w:rFonts w:hint="default" w:ascii="宋体" w:hAnsi="宋体" w:eastAsia="宋体" w:cs="宋体"/>
          <w:b/>
          <w:bCs/>
          <w:color w:val="auto"/>
          <w:sz w:val="28"/>
          <w:szCs w:val="28"/>
          <w:lang w:val="en-US" w:eastAsia="zh-CN"/>
        </w:rPr>
      </w:pPr>
      <w:r>
        <w:rPr>
          <w:rFonts w:hint="eastAsia" w:ascii="宋体" w:hAnsi="宋体" w:eastAsia="宋体" w:cs="宋体"/>
          <w:b/>
          <w:bCs/>
          <w:color w:val="auto"/>
          <w:sz w:val="28"/>
          <w:szCs w:val="28"/>
          <w:lang w:val="en-US" w:eastAsia="zh-CN"/>
        </w:rPr>
        <w:t>第一条 接口服务内容</w:t>
      </w:r>
    </w:p>
    <w:p w14:paraId="2E9B195A">
      <w:pPr>
        <w:keepNext w:val="0"/>
        <w:keepLines w:val="0"/>
        <w:pageBreakBefore w:val="0"/>
        <w:widowControl w:val="0"/>
        <w:kinsoku/>
        <w:wordWrap/>
        <w:overflowPunct/>
        <w:topLinePunct w:val="0"/>
        <w:autoSpaceDE/>
        <w:autoSpaceDN/>
        <w:bidi w:val="0"/>
        <w:adjustRightInd/>
        <w:snapToGrid/>
        <w:spacing w:line="460" w:lineRule="exact"/>
        <w:ind w:firstLine="560"/>
        <w:jc w:val="both"/>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1.1 接口服务项目名称：</w:t>
      </w:r>
      <w:r>
        <w:rPr>
          <w:rFonts w:hint="eastAsia" w:ascii="宋体" w:hAnsi="宋体" w:cs="宋体"/>
          <w:color w:val="auto"/>
          <w:sz w:val="28"/>
          <w:szCs w:val="28"/>
          <w:u w:val="single"/>
          <w:lang w:val="en-US" w:eastAsia="zh-CN"/>
        </w:rPr>
        <w:t>电子健康卡3.0接口改造服务</w:t>
      </w:r>
      <w:r>
        <w:rPr>
          <w:rFonts w:hint="eastAsia" w:ascii="宋体" w:hAnsi="宋体" w:eastAsia="宋体" w:cs="宋体"/>
          <w:color w:val="auto"/>
          <w:sz w:val="28"/>
          <w:szCs w:val="28"/>
          <w:lang w:val="en-US" w:eastAsia="zh-CN"/>
        </w:rPr>
        <w:t>。</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5"/>
        <w:gridCol w:w="1710"/>
        <w:gridCol w:w="859"/>
        <w:gridCol w:w="4568"/>
      </w:tblGrid>
      <w:tr w14:paraId="04D75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5" w:type="dxa"/>
            <w:noWrap w:val="0"/>
            <w:vAlign w:val="center"/>
          </w:tcPr>
          <w:p w14:paraId="75D6C547">
            <w:pPr>
              <w:keepNext w:val="0"/>
              <w:keepLines w:val="0"/>
              <w:pageBreakBefore w:val="0"/>
              <w:widowControl w:val="0"/>
              <w:suppressLineNumbers w:val="0"/>
              <w:kinsoku/>
              <w:wordWrap/>
              <w:overflowPunct/>
              <w:topLinePunct w:val="0"/>
              <w:bidi w:val="0"/>
              <w:snapToGrid/>
              <w:spacing w:line="460" w:lineRule="exact"/>
              <w:ind w:firstLine="482" w:firstLineChars="200"/>
              <w:jc w:val="center"/>
              <w:textAlignment w:val="center"/>
              <w:rPr>
                <w:rFonts w:hint="eastAsia"/>
                <w:color w:val="auto"/>
                <w:sz w:val="24"/>
                <w:szCs w:val="24"/>
                <w:vertAlign w:val="baseline"/>
              </w:rPr>
            </w:pPr>
            <w:r>
              <w:rPr>
                <w:rFonts w:hint="eastAsia" w:ascii="宋体" w:hAnsi="宋体" w:eastAsia="宋体" w:cs="宋体"/>
                <w:b/>
                <w:bCs/>
                <w:i w:val="0"/>
                <w:iCs w:val="0"/>
                <w:color w:val="auto"/>
                <w:kern w:val="0"/>
                <w:sz w:val="24"/>
                <w:szCs w:val="24"/>
                <w:u w:val="none"/>
                <w:lang w:val="en-US" w:eastAsia="zh-CN" w:bidi="ar"/>
              </w:rPr>
              <w:t>类  型</w:t>
            </w:r>
          </w:p>
        </w:tc>
        <w:tc>
          <w:tcPr>
            <w:tcW w:w="1710" w:type="dxa"/>
            <w:noWrap w:val="0"/>
            <w:vAlign w:val="center"/>
          </w:tcPr>
          <w:p w14:paraId="08EFDDDD">
            <w:pPr>
              <w:keepNext w:val="0"/>
              <w:keepLines w:val="0"/>
              <w:pageBreakBefore w:val="0"/>
              <w:widowControl w:val="0"/>
              <w:suppressLineNumbers w:val="0"/>
              <w:kinsoku/>
              <w:wordWrap/>
              <w:overflowPunct/>
              <w:topLinePunct w:val="0"/>
              <w:bidi w:val="0"/>
              <w:snapToGrid/>
              <w:spacing w:line="460" w:lineRule="exact"/>
              <w:jc w:val="center"/>
              <w:textAlignment w:val="center"/>
              <w:rPr>
                <w:rFonts w:hint="eastAsia"/>
                <w:color w:val="auto"/>
                <w:sz w:val="24"/>
                <w:szCs w:val="24"/>
                <w:vertAlign w:val="baseline"/>
              </w:rPr>
            </w:pPr>
            <w:r>
              <w:rPr>
                <w:rFonts w:hint="eastAsia" w:ascii="宋体" w:hAnsi="宋体" w:eastAsia="宋体" w:cs="宋体"/>
                <w:b/>
                <w:bCs/>
                <w:i w:val="0"/>
                <w:iCs w:val="0"/>
                <w:color w:val="auto"/>
                <w:kern w:val="0"/>
                <w:sz w:val="24"/>
                <w:szCs w:val="24"/>
                <w:u w:val="none"/>
                <w:lang w:val="en-US" w:eastAsia="zh-CN" w:bidi="ar"/>
              </w:rPr>
              <w:t>产品内容</w:t>
            </w:r>
          </w:p>
        </w:tc>
        <w:tc>
          <w:tcPr>
            <w:tcW w:w="859" w:type="dxa"/>
            <w:noWrap w:val="0"/>
            <w:vAlign w:val="center"/>
          </w:tcPr>
          <w:p w14:paraId="0C6DC5DF">
            <w:pPr>
              <w:keepNext w:val="0"/>
              <w:keepLines w:val="0"/>
              <w:pageBreakBefore w:val="0"/>
              <w:widowControl w:val="0"/>
              <w:suppressLineNumbers w:val="0"/>
              <w:kinsoku/>
              <w:wordWrap/>
              <w:overflowPunct/>
              <w:topLinePunct w:val="0"/>
              <w:bidi w:val="0"/>
              <w:snapToGrid/>
              <w:spacing w:line="460" w:lineRule="exact"/>
              <w:jc w:val="center"/>
              <w:textAlignment w:val="center"/>
              <w:rPr>
                <w:rFonts w:hint="eastAsia"/>
                <w:color w:val="auto"/>
                <w:sz w:val="24"/>
                <w:szCs w:val="24"/>
                <w:vertAlign w:val="baseline"/>
              </w:rPr>
            </w:pPr>
            <w:r>
              <w:rPr>
                <w:rFonts w:hint="eastAsia" w:ascii="宋体" w:hAnsi="宋体" w:eastAsia="宋体" w:cs="宋体"/>
                <w:b/>
                <w:bCs/>
                <w:i w:val="0"/>
                <w:iCs w:val="0"/>
                <w:color w:val="auto"/>
                <w:kern w:val="0"/>
                <w:sz w:val="24"/>
                <w:szCs w:val="24"/>
                <w:u w:val="none"/>
                <w:lang w:val="en-US" w:eastAsia="zh-CN" w:bidi="ar"/>
              </w:rPr>
              <w:t>数量</w:t>
            </w:r>
          </w:p>
        </w:tc>
        <w:tc>
          <w:tcPr>
            <w:tcW w:w="4568" w:type="dxa"/>
            <w:noWrap w:val="0"/>
            <w:vAlign w:val="center"/>
          </w:tcPr>
          <w:p w14:paraId="681BF819">
            <w:pPr>
              <w:keepNext w:val="0"/>
              <w:keepLines w:val="0"/>
              <w:pageBreakBefore w:val="0"/>
              <w:widowControl w:val="0"/>
              <w:suppressLineNumbers w:val="0"/>
              <w:kinsoku/>
              <w:wordWrap/>
              <w:overflowPunct/>
              <w:topLinePunct w:val="0"/>
              <w:bidi w:val="0"/>
              <w:snapToGrid/>
              <w:spacing w:line="460" w:lineRule="exact"/>
              <w:jc w:val="center"/>
              <w:textAlignment w:val="center"/>
              <w:rPr>
                <w:rFonts w:hint="default"/>
                <w:color w:val="auto"/>
                <w:sz w:val="24"/>
                <w:szCs w:val="24"/>
                <w:vertAlign w:val="baseline"/>
                <w:lang w:val="en-US"/>
              </w:rPr>
            </w:pPr>
            <w:r>
              <w:rPr>
                <w:rFonts w:hint="eastAsia" w:ascii="宋体" w:hAnsi="宋体" w:cs="宋体"/>
                <w:b/>
                <w:bCs/>
                <w:i w:val="0"/>
                <w:iCs w:val="0"/>
                <w:color w:val="auto"/>
                <w:kern w:val="0"/>
                <w:sz w:val="24"/>
                <w:szCs w:val="24"/>
                <w:u w:val="none"/>
                <w:lang w:val="en-US" w:eastAsia="zh-CN" w:bidi="ar"/>
              </w:rPr>
              <w:t>产品要求</w:t>
            </w:r>
          </w:p>
        </w:tc>
      </w:tr>
      <w:tr w14:paraId="5C35E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1955" w:type="dxa"/>
            <w:noWrap w:val="0"/>
            <w:vAlign w:val="center"/>
          </w:tcPr>
          <w:p w14:paraId="1378C621">
            <w:pPr>
              <w:pStyle w:val="9"/>
              <w:keepNext w:val="0"/>
              <w:keepLines w:val="0"/>
              <w:pageBreakBefore w:val="0"/>
              <w:widowControl w:val="0"/>
              <w:kinsoku/>
              <w:wordWrap/>
              <w:overflowPunct/>
              <w:topLinePunct w:val="0"/>
              <w:autoSpaceDE/>
              <w:autoSpaceDN/>
              <w:bidi w:val="0"/>
              <w:adjustRightInd/>
              <w:snapToGrid/>
              <w:spacing w:after="0" w:line="460" w:lineRule="exact"/>
              <w:jc w:val="center"/>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卫宁健康医院信息管理软件V5.0</w:t>
            </w:r>
          </w:p>
        </w:tc>
        <w:tc>
          <w:tcPr>
            <w:tcW w:w="1710" w:type="dxa"/>
            <w:noWrap w:val="0"/>
            <w:vAlign w:val="center"/>
          </w:tcPr>
          <w:p w14:paraId="6D72C5E6">
            <w:pPr>
              <w:pStyle w:val="9"/>
              <w:keepNext w:val="0"/>
              <w:keepLines w:val="0"/>
              <w:pageBreakBefore w:val="0"/>
              <w:widowControl w:val="0"/>
              <w:kinsoku/>
              <w:wordWrap/>
              <w:overflowPunct/>
              <w:topLinePunct w:val="0"/>
              <w:autoSpaceDE/>
              <w:autoSpaceDN/>
              <w:bidi w:val="0"/>
              <w:adjustRightInd/>
              <w:snapToGrid/>
              <w:spacing w:after="0" w:line="460" w:lineRule="exact"/>
              <w:jc w:val="center"/>
              <w:textAlignment w:val="auto"/>
              <w:rPr>
                <w:rFonts w:hint="eastAsia" w:ascii="宋体" w:hAnsi="宋体" w:eastAsia="宋体" w:cs="宋体"/>
                <w:color w:val="auto"/>
                <w:kern w:val="2"/>
                <w:sz w:val="24"/>
                <w:szCs w:val="24"/>
                <w:lang w:val="en-US" w:eastAsia="zh-CN" w:bidi="ar-SA"/>
              </w:rPr>
            </w:pPr>
            <w:r>
              <w:rPr>
                <w:rFonts w:hint="eastAsia" w:ascii="宋体" w:hAnsi="宋体" w:cs="宋体"/>
                <w:color w:val="auto"/>
                <w:sz w:val="28"/>
                <w:szCs w:val="28"/>
                <w:u w:val="single"/>
                <w:lang w:val="en-US" w:eastAsia="zh-CN"/>
              </w:rPr>
              <w:t>电子健康卡3.0接口改造</w:t>
            </w:r>
          </w:p>
        </w:tc>
        <w:tc>
          <w:tcPr>
            <w:tcW w:w="859" w:type="dxa"/>
            <w:noWrap w:val="0"/>
            <w:vAlign w:val="center"/>
          </w:tcPr>
          <w:p w14:paraId="05351FF3">
            <w:pPr>
              <w:pStyle w:val="9"/>
              <w:keepNext w:val="0"/>
              <w:keepLines w:val="0"/>
              <w:pageBreakBefore w:val="0"/>
              <w:widowControl w:val="0"/>
              <w:kinsoku/>
              <w:wordWrap/>
              <w:overflowPunct/>
              <w:topLinePunct w:val="0"/>
              <w:autoSpaceDE/>
              <w:autoSpaceDN/>
              <w:bidi w:val="0"/>
              <w:adjustRightInd/>
              <w:snapToGrid/>
              <w:spacing w:after="0" w:line="460" w:lineRule="exact"/>
              <w:jc w:val="center"/>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w:t>
            </w:r>
          </w:p>
        </w:tc>
        <w:tc>
          <w:tcPr>
            <w:tcW w:w="4568" w:type="dxa"/>
            <w:noWrap w:val="0"/>
            <w:vAlign w:val="center"/>
          </w:tcPr>
          <w:p w14:paraId="4B1BF1C7">
            <w:pPr>
              <w:pStyle w:val="9"/>
              <w:keepNext w:val="0"/>
              <w:keepLines w:val="0"/>
              <w:pageBreakBefore w:val="0"/>
              <w:widowControl w:val="0"/>
              <w:kinsoku/>
              <w:wordWrap/>
              <w:overflowPunct/>
              <w:topLinePunct w:val="0"/>
              <w:autoSpaceDE/>
              <w:autoSpaceDN/>
              <w:bidi w:val="0"/>
              <w:adjustRightInd/>
              <w:snapToGrid/>
              <w:spacing w:after="0" w:line="460" w:lineRule="exact"/>
              <w:jc w:val="left"/>
              <w:textAlignment w:val="auto"/>
              <w:rPr>
                <w:rFonts w:hint="default" w:ascii="宋体" w:hAnsi="宋体" w:eastAsia="宋体" w:cs="宋体"/>
                <w:color w:val="auto"/>
                <w:kern w:val="2"/>
                <w:sz w:val="24"/>
                <w:szCs w:val="24"/>
                <w:lang w:val="en-US" w:eastAsia="zh-CN" w:bidi="ar-SA"/>
              </w:rPr>
            </w:pPr>
            <w:r>
              <w:rPr>
                <w:rFonts w:hint="eastAsia" w:ascii="宋体" w:hAnsi="宋体" w:eastAsia="宋体" w:cs="宋体"/>
                <w:kern w:val="0"/>
                <w:sz w:val="20"/>
              </w:rPr>
              <w:t>按202</w:t>
            </w:r>
            <w:r>
              <w:rPr>
                <w:rFonts w:hint="eastAsia" w:ascii="宋体" w:hAnsi="宋体" w:cs="宋体"/>
                <w:kern w:val="0"/>
                <w:sz w:val="20"/>
                <w:lang w:val="en-US" w:eastAsia="zh-CN"/>
              </w:rPr>
              <w:t>3</w:t>
            </w:r>
            <w:r>
              <w:rPr>
                <w:rFonts w:hint="eastAsia" w:ascii="宋体" w:hAnsi="宋体" w:eastAsia="宋体" w:cs="宋体"/>
                <w:kern w:val="0"/>
                <w:sz w:val="20"/>
              </w:rPr>
              <w:t>年</w:t>
            </w:r>
            <w:r>
              <w:rPr>
                <w:rFonts w:hint="eastAsia" w:ascii="宋体" w:hAnsi="宋体" w:cs="宋体"/>
                <w:kern w:val="0"/>
                <w:sz w:val="20"/>
                <w:lang w:val="en-US" w:eastAsia="zh-CN"/>
              </w:rPr>
              <w:t>11</w:t>
            </w:r>
            <w:r>
              <w:rPr>
                <w:rFonts w:hint="eastAsia" w:ascii="宋体" w:hAnsi="宋体" w:eastAsia="宋体" w:cs="宋体"/>
                <w:kern w:val="0"/>
                <w:sz w:val="20"/>
              </w:rPr>
              <w:t>月由</w:t>
            </w:r>
            <w:r>
              <w:rPr>
                <w:rFonts w:hint="eastAsia" w:ascii="宋体" w:hAnsi="宋体" w:cs="宋体"/>
                <w:kern w:val="0"/>
                <w:sz w:val="20"/>
                <w:lang w:val="en-US" w:eastAsia="zh-CN"/>
              </w:rPr>
              <w:t>国家卫生健康委统计信息中心</w:t>
            </w:r>
            <w:r>
              <w:rPr>
                <w:rFonts w:hint="eastAsia" w:ascii="宋体" w:hAnsi="宋体" w:eastAsia="宋体" w:cs="宋体"/>
                <w:kern w:val="0"/>
                <w:sz w:val="20"/>
              </w:rPr>
              <w:t>提供的</w:t>
            </w:r>
            <w:r>
              <w:rPr>
                <w:rFonts w:hint="eastAsia" w:ascii="宋体" w:hAnsi="宋体" w:cs="宋体"/>
                <w:kern w:val="0"/>
                <w:sz w:val="20"/>
                <w:lang w:eastAsia="zh-CN"/>
              </w:rPr>
              <w:t>《附件1国家卫生健康委统计信息中心关于印发《医疗卫生机构患者主索引标准统一技术指南（2023版）》的通知》、《附件2电子健康卡建设与管理指南V3.1》、《附件3湖南省电子健康卡系统应用接口规范 V3.0 》</w:t>
            </w:r>
            <w:r>
              <w:rPr>
                <w:rFonts w:hint="eastAsia" w:ascii="宋体" w:hAnsi="宋体" w:eastAsia="宋体" w:cs="宋体"/>
                <w:kern w:val="0"/>
                <w:sz w:val="20"/>
              </w:rPr>
              <w:t>予以开发</w:t>
            </w:r>
          </w:p>
        </w:tc>
      </w:tr>
    </w:tbl>
    <w:p w14:paraId="62E6E588">
      <w:pPr>
        <w:keepNext w:val="0"/>
        <w:keepLines w:val="0"/>
        <w:pageBreakBefore w:val="0"/>
        <w:widowControl w:val="0"/>
        <w:kinsoku/>
        <w:wordWrap/>
        <w:overflowPunct/>
        <w:topLinePunct w:val="0"/>
        <w:autoSpaceDE/>
        <w:autoSpaceDN/>
        <w:bidi w:val="0"/>
        <w:adjustRightInd/>
        <w:snapToGrid/>
        <w:spacing w:line="460" w:lineRule="exact"/>
        <w:ind w:firstLine="560"/>
        <w:jc w:val="both"/>
        <w:textAlignment w:val="auto"/>
        <w:rPr>
          <w:rFonts w:hint="default"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1.2 乙方为甲方提供接口服务，具体开发要求详见附件</w:t>
      </w:r>
      <w:r>
        <w:rPr>
          <w:rFonts w:hint="eastAsia" w:ascii="宋体" w:hAnsi="宋体" w:cs="宋体"/>
          <w:color w:val="auto"/>
          <w:sz w:val="28"/>
          <w:szCs w:val="28"/>
          <w:lang w:val="en-US" w:eastAsia="zh-CN"/>
        </w:rPr>
        <w:t>《附件1国家卫生健康委统计信息中心关于印发《医疗卫生机构患者主索引标准统一技术指南（2023版）》的通知》、《附件2电子健康卡建设与管理指南V3.1》、《附件3湖南省电子健康卡系统应用接口规范 V3.0 》</w:t>
      </w:r>
      <w:r>
        <w:rPr>
          <w:rFonts w:hint="eastAsia" w:ascii="宋体" w:hAnsi="宋体" w:eastAsia="宋体" w:cs="宋体"/>
          <w:color w:val="auto"/>
          <w:sz w:val="28"/>
          <w:szCs w:val="28"/>
          <w:lang w:val="en-US" w:eastAsia="zh-CN"/>
        </w:rPr>
        <w:t>。超出此文档范围的程序修改，甲乙双方进行充分协商后另行签订补充协议。</w:t>
      </w:r>
    </w:p>
    <w:p w14:paraId="2FAC043B">
      <w:pPr>
        <w:keepNext w:val="0"/>
        <w:keepLines w:val="0"/>
        <w:pageBreakBefore w:val="0"/>
        <w:widowControl w:val="0"/>
        <w:kinsoku/>
        <w:wordWrap/>
        <w:overflowPunct/>
        <w:topLinePunct w:val="0"/>
        <w:autoSpaceDE/>
        <w:autoSpaceDN/>
        <w:bidi w:val="0"/>
        <w:adjustRightInd/>
        <w:snapToGrid/>
        <w:spacing w:line="460" w:lineRule="exact"/>
        <w:ind w:firstLine="560"/>
        <w:jc w:val="both"/>
        <w:textAlignment w:val="auto"/>
        <w:rPr>
          <w:rFonts w:hint="default"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1.3 乙方根据甲方需求制定具体实施方案，为甲方修改管理信息系统提供技术支持，并为甲方工作人员使用接口功能免费提供培训。</w:t>
      </w:r>
    </w:p>
    <w:p w14:paraId="41FAFAAD">
      <w:pPr>
        <w:pStyle w:val="2"/>
        <w:keepNext w:val="0"/>
        <w:keepLines w:val="0"/>
        <w:pageBreakBefore w:val="0"/>
        <w:widowControl w:val="0"/>
        <w:kinsoku/>
        <w:wordWrap/>
        <w:overflowPunct/>
        <w:topLinePunct w:val="0"/>
        <w:bidi w:val="0"/>
        <w:snapToGrid/>
        <w:spacing w:after="0" w:line="460" w:lineRule="exact"/>
        <w:ind w:left="0" w:leftChars="0" w:firstLine="0" w:firstLineChars="0"/>
        <w:textAlignment w:val="auto"/>
        <w:rPr>
          <w:rFonts w:hint="default"/>
          <w:color w:val="auto"/>
          <w:lang w:val="en-US" w:eastAsia="zh-CN"/>
        </w:rPr>
      </w:pPr>
      <w:r>
        <w:rPr>
          <w:rFonts w:hint="eastAsia" w:ascii="宋体" w:hAnsi="宋体" w:eastAsia="宋体" w:cs="宋体"/>
          <w:color w:val="auto"/>
          <w:sz w:val="28"/>
          <w:szCs w:val="28"/>
          <w:lang w:val="en-US" w:eastAsia="zh-CN"/>
        </w:rPr>
        <w:t xml:space="preserve">    1.4 乙方提供7*24电话咨询服务（联系电话：</w:t>
      </w:r>
      <w:r>
        <w:rPr>
          <w:rFonts w:hint="eastAsia" w:ascii="宋体" w:hAnsi="宋体" w:eastAsia="宋体" w:cs="宋体"/>
          <w:color w:val="auto"/>
          <w:sz w:val="28"/>
          <w:szCs w:val="28"/>
          <w:u w:val="single"/>
          <w:lang w:val="en-US" w:eastAsia="zh-CN"/>
        </w:rPr>
        <w:t xml:space="preserve"> </w:t>
      </w:r>
      <w:r>
        <w:rPr>
          <w:rFonts w:hint="eastAsia" w:ascii="宋体" w:hAnsi="宋体" w:cs="宋体"/>
          <w:color w:val="auto"/>
          <w:sz w:val="28"/>
          <w:szCs w:val="28"/>
          <w:u w:val="single"/>
          <w:lang w:val="en-US" w:eastAsia="zh-CN"/>
        </w:rPr>
        <w:t>4000211006</w:t>
      </w:r>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color w:val="auto"/>
          <w:sz w:val="28"/>
          <w:szCs w:val="28"/>
          <w:lang w:val="en-US" w:eastAsia="zh-CN"/>
        </w:rPr>
        <w:t>），以解答甲方提出的有关疑问。</w:t>
      </w:r>
    </w:p>
    <w:p w14:paraId="0AB217BE">
      <w:pPr>
        <w:keepNext w:val="0"/>
        <w:keepLines w:val="0"/>
        <w:pageBreakBefore w:val="0"/>
        <w:widowControl w:val="0"/>
        <w:kinsoku/>
        <w:wordWrap/>
        <w:overflowPunct/>
        <w:topLinePunct w:val="0"/>
        <w:autoSpaceDE/>
        <w:autoSpaceDN/>
        <w:bidi w:val="0"/>
        <w:adjustRightInd/>
        <w:snapToGrid/>
        <w:spacing w:line="460" w:lineRule="exact"/>
        <w:ind w:firstLine="560"/>
        <w:jc w:val="both"/>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1.5 乙方完成接口开发后，应配合甲方完成接口调试、测试，确保接口正常、稳定运行。</w:t>
      </w:r>
    </w:p>
    <w:p w14:paraId="49B11F38">
      <w:pPr>
        <w:pStyle w:val="2"/>
        <w:keepNext w:val="0"/>
        <w:keepLines w:val="0"/>
        <w:pageBreakBefore w:val="0"/>
        <w:widowControl w:val="0"/>
        <w:kinsoku/>
        <w:wordWrap/>
        <w:overflowPunct/>
        <w:topLinePunct w:val="0"/>
        <w:bidi w:val="0"/>
        <w:snapToGrid/>
        <w:spacing w:after="0" w:line="460" w:lineRule="exact"/>
        <w:ind w:left="0" w:leftChars="0" w:firstLine="0" w:firstLineChars="0"/>
        <w:textAlignment w:val="auto"/>
        <w:rPr>
          <w:rFonts w:hint="default"/>
          <w:color w:val="auto"/>
          <w:lang w:val="en-US" w:eastAsia="zh-CN"/>
        </w:rPr>
      </w:pPr>
      <w:r>
        <w:rPr>
          <w:rFonts w:hint="eastAsia" w:ascii="宋体" w:hAnsi="宋体" w:eastAsia="宋体" w:cs="宋体"/>
          <w:color w:val="auto"/>
          <w:sz w:val="28"/>
          <w:szCs w:val="28"/>
          <w:lang w:val="en-US" w:eastAsia="zh-CN"/>
        </w:rPr>
        <w:t xml:space="preserve">    1.6 乙方确保接口能长期稳定使用，因乙方系统升级等任何乙方开发软件原因影响服务功能的，乙方无条件免费调整到位。</w:t>
      </w:r>
    </w:p>
    <w:p w14:paraId="5079EC00">
      <w:pPr>
        <w:pStyle w:val="2"/>
        <w:keepNext w:val="0"/>
        <w:keepLines w:val="0"/>
        <w:pageBreakBefore w:val="0"/>
        <w:widowControl w:val="0"/>
        <w:kinsoku/>
        <w:wordWrap/>
        <w:overflowPunct/>
        <w:topLinePunct w:val="0"/>
        <w:bidi w:val="0"/>
        <w:snapToGrid/>
        <w:spacing w:after="0" w:line="460" w:lineRule="exact"/>
        <w:ind w:left="0" w:leftChars="0" w:firstLine="562"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b/>
          <w:bCs/>
          <w:color w:val="auto"/>
          <w:sz w:val="28"/>
          <w:szCs w:val="28"/>
          <w:lang w:val="en-US" w:eastAsia="zh-CN"/>
        </w:rPr>
        <w:t>第二条 服务期限</w:t>
      </w:r>
      <w:r>
        <w:rPr>
          <w:rFonts w:hint="eastAsia" w:ascii="宋体" w:hAnsi="宋体" w:eastAsia="宋体" w:cs="宋体"/>
          <w:color w:val="auto"/>
          <w:sz w:val="28"/>
          <w:szCs w:val="28"/>
          <w:lang w:val="en-US" w:eastAsia="zh-CN"/>
        </w:rPr>
        <w:t xml:space="preserve"> </w:t>
      </w:r>
    </w:p>
    <w:p w14:paraId="0C87CCB7">
      <w:pPr>
        <w:pStyle w:val="2"/>
        <w:keepNext w:val="0"/>
        <w:keepLines w:val="0"/>
        <w:pageBreakBefore w:val="0"/>
        <w:widowControl w:val="0"/>
        <w:kinsoku/>
        <w:wordWrap/>
        <w:overflowPunct/>
        <w:topLinePunct w:val="0"/>
        <w:bidi w:val="0"/>
        <w:snapToGrid/>
        <w:spacing w:after="0" w:line="460" w:lineRule="exact"/>
        <w:ind w:left="0" w:leftChars="0" w:firstLine="560" w:firstLineChars="200"/>
        <w:textAlignment w:val="auto"/>
        <w:rPr>
          <w:rFonts w:hint="default"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本合同服务期限为90日，自本合同签订之日起算，乙方须在服务期限内完成接口服务并通过甲方验收。</w:t>
      </w:r>
    </w:p>
    <w:p w14:paraId="090870A4">
      <w:pPr>
        <w:pStyle w:val="2"/>
        <w:keepNext w:val="0"/>
        <w:keepLines w:val="0"/>
        <w:pageBreakBefore w:val="0"/>
        <w:widowControl w:val="0"/>
        <w:numPr>
          <w:ilvl w:val="0"/>
          <w:numId w:val="0"/>
        </w:numPr>
        <w:kinsoku/>
        <w:wordWrap/>
        <w:overflowPunct/>
        <w:topLinePunct w:val="0"/>
        <w:bidi w:val="0"/>
        <w:snapToGrid/>
        <w:spacing w:after="0" w:line="460" w:lineRule="exact"/>
        <w:ind w:left="0" w:leftChars="0" w:firstLine="562" w:firstLineChars="200"/>
        <w:textAlignment w:val="auto"/>
        <w:rPr>
          <w:rFonts w:hint="default" w:ascii="宋体" w:hAnsi="宋体" w:eastAsia="宋体" w:cs="宋体"/>
          <w:b/>
          <w:bCs/>
          <w:color w:val="auto"/>
          <w:kern w:val="0"/>
          <w:sz w:val="28"/>
          <w:szCs w:val="28"/>
          <w:lang w:val="en-US" w:eastAsia="zh-CN" w:bidi="ar-SA"/>
        </w:rPr>
      </w:pPr>
      <w:r>
        <w:rPr>
          <w:rFonts w:hint="eastAsia" w:ascii="宋体" w:hAnsi="宋体" w:eastAsia="宋体" w:cs="宋体"/>
          <w:b/>
          <w:bCs/>
          <w:color w:val="auto"/>
          <w:kern w:val="0"/>
          <w:sz w:val="28"/>
          <w:szCs w:val="28"/>
          <w:lang w:val="en-US" w:eastAsia="zh-CN" w:bidi="ar-SA"/>
        </w:rPr>
        <w:t>第三条 验收及售后服务</w:t>
      </w:r>
    </w:p>
    <w:p w14:paraId="16937893">
      <w:pPr>
        <w:keepNext w:val="0"/>
        <w:keepLines w:val="0"/>
        <w:pageBreakBefore w:val="0"/>
        <w:widowControl w:val="0"/>
        <w:numPr>
          <w:ilvl w:val="0"/>
          <w:numId w:val="0"/>
        </w:numPr>
        <w:kinsoku/>
        <w:wordWrap/>
        <w:overflowPunct/>
        <w:topLinePunct w:val="0"/>
        <w:bidi w:val="0"/>
        <w:snapToGrid/>
        <w:spacing w:line="460" w:lineRule="exact"/>
        <w:ind w:left="-14" w:leftChars="0" w:firstLine="560" w:firstLineChars="200"/>
        <w:rPr>
          <w:rFonts w:hint="eastAsia" w:ascii="宋体" w:hAnsi="宋体" w:eastAsia="宋体" w:cs="宋体"/>
          <w:color w:val="auto"/>
          <w:sz w:val="24"/>
          <w:lang w:val="zh-CN"/>
        </w:rPr>
      </w:pPr>
      <w:r>
        <w:rPr>
          <w:rFonts w:hint="eastAsia" w:ascii="宋体" w:hAnsi="宋体" w:eastAsia="宋体" w:cs="宋体"/>
          <w:b w:val="0"/>
          <w:bCs w:val="0"/>
          <w:color w:val="auto"/>
          <w:kern w:val="0"/>
          <w:sz w:val="28"/>
          <w:szCs w:val="28"/>
          <w:lang w:val="en-US" w:eastAsia="zh-CN" w:bidi="ar-SA"/>
        </w:rPr>
        <w:t xml:space="preserve">3.1  </w:t>
      </w:r>
      <w:r>
        <w:rPr>
          <w:rFonts w:hint="eastAsia" w:ascii="宋体" w:hAnsi="宋体" w:eastAsia="宋体" w:cs="宋体"/>
          <w:color w:val="auto"/>
          <w:sz w:val="28"/>
          <w:szCs w:val="28"/>
          <w:lang w:val="zh-CN"/>
        </w:rPr>
        <w:t>乙方应于接口上线前3个工作日内将提请接口上线的报告交付甲方</w:t>
      </w:r>
      <w:r>
        <w:rPr>
          <w:rFonts w:hint="eastAsia" w:ascii="宋体" w:hAnsi="宋体" w:eastAsia="宋体" w:cs="宋体"/>
          <w:color w:val="auto"/>
          <w:sz w:val="24"/>
          <w:lang w:val="zh-CN"/>
        </w:rPr>
        <w:t>。</w:t>
      </w:r>
    </w:p>
    <w:p w14:paraId="5D5783E2">
      <w:pPr>
        <w:keepNext w:val="0"/>
        <w:keepLines w:val="0"/>
        <w:pageBreakBefore w:val="0"/>
        <w:widowControl w:val="0"/>
        <w:numPr>
          <w:ilvl w:val="0"/>
          <w:numId w:val="0"/>
        </w:numPr>
        <w:kinsoku/>
        <w:wordWrap/>
        <w:overflowPunct/>
        <w:topLinePunct w:val="0"/>
        <w:bidi w:val="0"/>
        <w:snapToGrid/>
        <w:spacing w:line="460" w:lineRule="exact"/>
        <w:ind w:left="-14" w:leftChars="0" w:firstLine="560" w:firstLineChars="200"/>
        <w:rPr>
          <w:rFonts w:hint="eastAsia" w:ascii="宋体" w:hAnsi="宋体" w:eastAsia="宋体" w:cs="宋体"/>
          <w:color w:val="auto"/>
          <w:sz w:val="28"/>
          <w:szCs w:val="28"/>
          <w:lang w:val="zh-CN" w:eastAsia="zh-CN"/>
        </w:rPr>
      </w:pPr>
      <w:r>
        <w:rPr>
          <w:rFonts w:hint="eastAsia" w:ascii="宋体" w:hAnsi="宋体" w:eastAsia="宋体" w:cs="宋体"/>
          <w:color w:val="auto"/>
          <w:sz w:val="28"/>
          <w:szCs w:val="28"/>
          <w:lang w:val="en-US" w:eastAsia="zh-CN"/>
        </w:rPr>
        <w:t xml:space="preserve">3.2 </w:t>
      </w:r>
      <w:r>
        <w:rPr>
          <w:rFonts w:hint="eastAsia" w:ascii="宋体" w:hAnsi="宋体" w:eastAsia="宋体" w:cs="宋体"/>
          <w:color w:val="auto"/>
          <w:sz w:val="28"/>
          <w:szCs w:val="28"/>
          <w:lang w:val="zh-CN"/>
        </w:rPr>
        <w:t>甲方应在接到申请接口上线报告后，接口上线前，按相关上线条件等核实接口情况，按</w:t>
      </w:r>
      <w:r>
        <w:rPr>
          <w:rFonts w:hint="eastAsia" w:ascii="宋体" w:hAnsi="宋体" w:eastAsia="宋体" w:cs="宋体"/>
          <w:color w:val="auto"/>
          <w:sz w:val="28"/>
          <w:szCs w:val="28"/>
          <w:lang w:val="en-US" w:eastAsia="zh-CN"/>
        </w:rPr>
        <w:t>甲方提供的</w:t>
      </w:r>
      <w:r>
        <w:rPr>
          <w:rFonts w:hint="eastAsia" w:ascii="宋体" w:hAnsi="宋体" w:cs="宋体"/>
          <w:color w:val="auto"/>
          <w:sz w:val="28"/>
          <w:szCs w:val="28"/>
          <w:lang w:val="en-US" w:eastAsia="zh-CN"/>
        </w:rPr>
        <w:t>《附件1国家卫生健康委统计信息中心关于印发《医疗卫生机构患者主索引标准统一技术指南（2023版）》的通知》、《附件2电子健康卡建设与管理指南V3.1》、《附件3湖南省电子健康卡系统应用接口规范 V3.0 》</w:t>
      </w:r>
      <w:r>
        <w:rPr>
          <w:rFonts w:hint="eastAsia" w:ascii="宋体" w:hAnsi="宋体" w:eastAsia="宋体" w:cs="宋体"/>
          <w:color w:val="auto"/>
          <w:sz w:val="28"/>
          <w:szCs w:val="28"/>
          <w:lang w:val="en-US" w:eastAsia="zh-CN"/>
        </w:rPr>
        <w:t>文档予</w:t>
      </w:r>
      <w:r>
        <w:rPr>
          <w:rFonts w:hint="eastAsia" w:ascii="宋体" w:hAnsi="宋体" w:eastAsia="宋体" w:cs="宋体"/>
          <w:color w:val="auto"/>
          <w:sz w:val="28"/>
          <w:szCs w:val="28"/>
          <w:lang w:val="zh-CN" w:eastAsia="zh-CN"/>
        </w:rPr>
        <w:t>以上线确认。</w:t>
      </w:r>
    </w:p>
    <w:p w14:paraId="5A4873DC">
      <w:pPr>
        <w:keepNext w:val="0"/>
        <w:keepLines w:val="0"/>
        <w:pageBreakBefore w:val="0"/>
        <w:widowControl w:val="0"/>
        <w:numPr>
          <w:ilvl w:val="0"/>
          <w:numId w:val="0"/>
        </w:numPr>
        <w:kinsoku/>
        <w:wordWrap/>
        <w:overflowPunct/>
        <w:topLinePunct w:val="0"/>
        <w:bidi w:val="0"/>
        <w:snapToGrid/>
        <w:spacing w:line="460" w:lineRule="exact"/>
        <w:ind w:left="-14" w:leftChars="0" w:firstLine="560" w:firstLineChars="200"/>
        <w:textAlignment w:val="auto"/>
        <w:rPr>
          <w:rFonts w:hint="eastAsia" w:ascii="宋体" w:hAnsi="宋体" w:eastAsia="宋体" w:cs="宋体"/>
          <w:b w:val="0"/>
          <w:bCs w:val="0"/>
          <w:color w:val="auto"/>
          <w:kern w:val="0"/>
          <w:sz w:val="28"/>
          <w:szCs w:val="28"/>
          <w:lang w:val="en-US" w:eastAsia="zh-CN" w:bidi="ar-SA"/>
        </w:rPr>
      </w:pPr>
      <w:r>
        <w:rPr>
          <w:rFonts w:hint="eastAsia" w:ascii="宋体" w:hAnsi="宋体" w:eastAsia="宋体" w:cs="宋体"/>
          <w:color w:val="auto"/>
          <w:sz w:val="28"/>
          <w:szCs w:val="28"/>
          <w:lang w:val="en-US" w:eastAsia="zh-CN"/>
        </w:rPr>
        <w:t>3.3</w:t>
      </w:r>
      <w:r>
        <w:rPr>
          <w:rFonts w:hint="eastAsia" w:ascii="宋体" w:hAnsi="宋体" w:eastAsia="宋体" w:cs="宋体"/>
          <w:b w:val="0"/>
          <w:bCs w:val="0"/>
          <w:color w:val="auto"/>
          <w:kern w:val="0"/>
          <w:sz w:val="28"/>
          <w:szCs w:val="28"/>
          <w:lang w:val="en-US" w:eastAsia="zh-CN" w:bidi="ar-SA"/>
        </w:rPr>
        <w:t>乙方完成接口服务后通知甲方进行内部测试，在甲方书面确认后将接口上线，若乙方未经甲方测试确认擅自将接口程序上线，相应责任由乙方承担，否则相应责任由甲方承担</w:t>
      </w:r>
      <w:r>
        <w:rPr>
          <w:rFonts w:hint="eastAsia" w:ascii="宋体" w:hAnsi="宋体" w:cs="宋体"/>
          <w:b w:val="0"/>
          <w:bCs w:val="0"/>
          <w:color w:val="auto"/>
          <w:kern w:val="0"/>
          <w:sz w:val="28"/>
          <w:szCs w:val="28"/>
          <w:lang w:val="en-US" w:eastAsia="zh-CN" w:bidi="ar-SA"/>
        </w:rPr>
        <w:t>。</w:t>
      </w:r>
      <w:r>
        <w:rPr>
          <w:rFonts w:hint="eastAsia" w:ascii="宋体" w:hAnsi="宋体" w:eastAsia="宋体" w:cs="宋体"/>
          <w:b w:val="0"/>
          <w:bCs w:val="0"/>
          <w:color w:val="auto"/>
          <w:kern w:val="0"/>
          <w:sz w:val="28"/>
          <w:szCs w:val="28"/>
          <w:lang w:val="en-US" w:eastAsia="zh-CN" w:bidi="ar-SA"/>
        </w:rPr>
        <w:t>接口上线稳定运行达</w:t>
      </w:r>
      <w:r>
        <w:rPr>
          <w:rFonts w:hint="eastAsia" w:ascii="宋体" w:hAnsi="宋体" w:cs="宋体"/>
          <w:b w:val="0"/>
          <w:bCs w:val="0"/>
          <w:color w:val="auto"/>
          <w:kern w:val="0"/>
          <w:sz w:val="28"/>
          <w:szCs w:val="28"/>
          <w:lang w:val="en-US" w:eastAsia="zh-CN" w:bidi="ar-SA"/>
        </w:rPr>
        <w:t>10</w:t>
      </w:r>
      <w:r>
        <w:rPr>
          <w:rFonts w:hint="eastAsia" w:ascii="宋体" w:hAnsi="宋体" w:eastAsia="宋体" w:cs="宋体"/>
          <w:b w:val="0"/>
          <w:bCs w:val="0"/>
          <w:color w:val="auto"/>
          <w:kern w:val="0"/>
          <w:sz w:val="28"/>
          <w:szCs w:val="28"/>
          <w:lang w:val="en-US" w:eastAsia="zh-CN" w:bidi="ar-SA"/>
        </w:rPr>
        <w:t>日后，乙方通知甲方验收，并提供完整的技术文档等资料。甲方自收到乙方通知后</w:t>
      </w:r>
      <w:r>
        <w:rPr>
          <w:rFonts w:hint="eastAsia" w:ascii="宋体" w:hAnsi="宋体" w:eastAsia="宋体" w:cs="宋体"/>
          <w:b w:val="0"/>
          <w:bCs w:val="0"/>
          <w:color w:val="auto"/>
          <w:kern w:val="0"/>
          <w:sz w:val="28"/>
          <w:szCs w:val="28"/>
          <w:u w:val="single"/>
          <w:lang w:val="en-US" w:eastAsia="zh-CN" w:bidi="ar-SA"/>
        </w:rPr>
        <w:t xml:space="preserve"> </w:t>
      </w:r>
      <w:r>
        <w:rPr>
          <w:rFonts w:hint="eastAsia" w:ascii="宋体" w:hAnsi="宋体" w:cs="宋体"/>
          <w:b w:val="0"/>
          <w:bCs w:val="0"/>
          <w:color w:val="auto"/>
          <w:kern w:val="0"/>
          <w:sz w:val="28"/>
          <w:szCs w:val="28"/>
          <w:u w:val="single"/>
          <w:lang w:val="en-US" w:eastAsia="zh-CN" w:bidi="ar-SA"/>
        </w:rPr>
        <w:t>7</w:t>
      </w:r>
      <w:r>
        <w:rPr>
          <w:rFonts w:hint="eastAsia" w:ascii="宋体" w:hAnsi="宋体" w:eastAsia="宋体" w:cs="宋体"/>
          <w:b w:val="0"/>
          <w:bCs w:val="0"/>
          <w:color w:val="auto"/>
          <w:kern w:val="0"/>
          <w:sz w:val="28"/>
          <w:szCs w:val="28"/>
          <w:u w:val="single"/>
          <w:lang w:val="en-US" w:eastAsia="zh-CN" w:bidi="ar-SA"/>
        </w:rPr>
        <w:t xml:space="preserve"> </w:t>
      </w:r>
      <w:r>
        <w:rPr>
          <w:rFonts w:hint="eastAsia" w:ascii="宋体" w:hAnsi="宋体" w:eastAsia="宋体" w:cs="宋体"/>
          <w:b w:val="0"/>
          <w:bCs w:val="0"/>
          <w:color w:val="auto"/>
          <w:kern w:val="0"/>
          <w:sz w:val="28"/>
          <w:szCs w:val="28"/>
          <w:lang w:val="en-US" w:eastAsia="zh-CN" w:bidi="ar-SA"/>
        </w:rPr>
        <w:t>日内按本合同约定和采购需求进行验收，验收合格的签署验收合格报告</w:t>
      </w:r>
      <w:r>
        <w:rPr>
          <w:rFonts w:hint="eastAsia" w:ascii="宋体" w:hAnsi="宋体" w:cs="宋体"/>
          <w:b w:val="0"/>
          <w:bCs w:val="0"/>
          <w:color w:val="auto"/>
          <w:kern w:val="0"/>
          <w:sz w:val="28"/>
          <w:szCs w:val="28"/>
          <w:lang w:val="en-US" w:eastAsia="zh-CN" w:bidi="ar-SA"/>
        </w:rPr>
        <w:t>，如</w:t>
      </w:r>
      <w:r>
        <w:rPr>
          <w:rFonts w:hint="eastAsia" w:ascii="宋体" w:hAnsi="宋体" w:eastAsia="宋体" w:cs="宋体"/>
          <w:b w:val="0"/>
          <w:bCs w:val="0"/>
          <w:color w:val="auto"/>
          <w:kern w:val="0"/>
          <w:sz w:val="28"/>
          <w:szCs w:val="28"/>
          <w:lang w:val="en-US" w:eastAsia="zh-CN" w:bidi="ar-SA"/>
        </w:rPr>
        <w:t>甲方</w:t>
      </w:r>
      <w:r>
        <w:rPr>
          <w:rFonts w:hint="eastAsia" w:ascii="宋体" w:hAnsi="宋体" w:cs="宋体"/>
          <w:b w:val="0"/>
          <w:bCs w:val="0"/>
          <w:color w:val="auto"/>
          <w:kern w:val="0"/>
          <w:sz w:val="28"/>
          <w:szCs w:val="28"/>
          <w:lang w:val="en-US" w:eastAsia="zh-CN" w:bidi="ar-SA"/>
        </w:rPr>
        <w:t>收</w:t>
      </w:r>
      <w:r>
        <w:rPr>
          <w:rFonts w:hint="eastAsia" w:ascii="宋体" w:hAnsi="宋体" w:eastAsia="宋体" w:cs="宋体"/>
          <w:b w:val="0"/>
          <w:bCs w:val="0"/>
          <w:color w:val="auto"/>
          <w:kern w:val="0"/>
          <w:sz w:val="28"/>
          <w:szCs w:val="28"/>
          <w:lang w:val="en-US" w:eastAsia="zh-CN" w:bidi="ar-SA"/>
        </w:rPr>
        <w:t xml:space="preserve">到申请后 </w:t>
      </w:r>
      <w:r>
        <w:rPr>
          <w:rFonts w:hint="eastAsia" w:ascii="宋体" w:hAnsi="宋体" w:cs="宋体"/>
          <w:b w:val="0"/>
          <w:bCs w:val="0"/>
          <w:color w:val="auto"/>
          <w:kern w:val="0"/>
          <w:sz w:val="28"/>
          <w:szCs w:val="28"/>
          <w:lang w:val="en-US" w:eastAsia="zh-CN" w:bidi="ar-SA"/>
        </w:rPr>
        <w:t>7</w:t>
      </w:r>
      <w:r>
        <w:rPr>
          <w:rFonts w:hint="eastAsia" w:ascii="宋体" w:hAnsi="宋体" w:eastAsia="宋体" w:cs="宋体"/>
          <w:b w:val="0"/>
          <w:bCs w:val="0"/>
          <w:color w:val="auto"/>
          <w:kern w:val="0"/>
          <w:sz w:val="28"/>
          <w:szCs w:val="28"/>
          <w:lang w:val="en-US" w:eastAsia="zh-CN" w:bidi="ar-SA"/>
        </w:rPr>
        <w:t xml:space="preserve"> 个工作日内不提出修改意见，且同意乙方上线的，则视作接口已被验收；如经甲方验收不合格，乙方须在</w:t>
      </w:r>
      <w:r>
        <w:rPr>
          <w:rFonts w:hint="eastAsia" w:ascii="宋体" w:hAnsi="宋体" w:eastAsia="宋体" w:cs="宋体"/>
          <w:b w:val="0"/>
          <w:bCs w:val="0"/>
          <w:color w:val="auto"/>
          <w:kern w:val="0"/>
          <w:sz w:val="28"/>
          <w:szCs w:val="28"/>
          <w:u w:val="single"/>
          <w:lang w:val="en-US" w:eastAsia="zh-CN" w:bidi="ar-SA"/>
        </w:rPr>
        <w:t xml:space="preserve"> 3 </w:t>
      </w:r>
      <w:r>
        <w:rPr>
          <w:rFonts w:hint="eastAsia" w:ascii="宋体" w:hAnsi="宋体" w:eastAsia="宋体" w:cs="宋体"/>
          <w:b w:val="0"/>
          <w:bCs w:val="0"/>
          <w:color w:val="auto"/>
          <w:kern w:val="0"/>
          <w:sz w:val="28"/>
          <w:szCs w:val="28"/>
          <w:lang w:val="en-US" w:eastAsia="zh-CN" w:bidi="ar-SA"/>
        </w:rPr>
        <w:t>日内无条件返工到位。</w:t>
      </w:r>
    </w:p>
    <w:p w14:paraId="71C09434">
      <w:pPr>
        <w:pStyle w:val="2"/>
        <w:keepNext w:val="0"/>
        <w:keepLines w:val="0"/>
        <w:pageBreakBefore w:val="0"/>
        <w:widowControl w:val="0"/>
        <w:numPr>
          <w:ilvl w:val="0"/>
          <w:numId w:val="0"/>
        </w:numPr>
        <w:kinsoku/>
        <w:wordWrap/>
        <w:overflowPunct/>
        <w:topLinePunct w:val="0"/>
        <w:bidi w:val="0"/>
        <w:snapToGrid/>
        <w:spacing w:after="0" w:line="460" w:lineRule="exact"/>
        <w:ind w:left="0" w:leftChars="0" w:firstLine="280" w:firstLineChars="100"/>
        <w:textAlignment w:val="auto"/>
        <w:rPr>
          <w:rFonts w:hint="default"/>
          <w:color w:val="auto"/>
          <w:lang w:val="en-US" w:eastAsia="zh-CN"/>
        </w:rPr>
      </w:pPr>
      <w:r>
        <w:rPr>
          <w:rFonts w:hint="eastAsia" w:ascii="宋体" w:hAnsi="宋体" w:cs="宋体"/>
          <w:b w:val="0"/>
          <w:bCs w:val="0"/>
          <w:color w:val="auto"/>
          <w:kern w:val="0"/>
          <w:sz w:val="28"/>
          <w:szCs w:val="28"/>
          <w:lang w:val="en-US" w:eastAsia="zh-CN" w:bidi="ar-SA"/>
        </w:rPr>
        <w:t xml:space="preserve"> </w:t>
      </w:r>
      <w:r>
        <w:rPr>
          <w:rFonts w:hint="eastAsia" w:ascii="宋体" w:hAnsi="宋体" w:eastAsia="宋体" w:cs="宋体"/>
          <w:b w:val="0"/>
          <w:bCs w:val="0"/>
          <w:color w:val="auto"/>
          <w:kern w:val="0"/>
          <w:sz w:val="28"/>
          <w:szCs w:val="28"/>
          <w:lang w:val="en-US" w:eastAsia="zh-CN" w:bidi="ar-SA"/>
        </w:rPr>
        <w:t>3.4 乙方确保本合同接口文档不变更的情况下接口能长期持续稳定使用。甲方在后续接口使用中出现故障，如故障不影响甲方正常使用，乙方自接到甲方通知后30分钟内响应，如故障影响到甲方正常使用（如：系统崩溃等），乙方自接到甲方通知后10分钟响应，1小时内开展维护工作。</w:t>
      </w:r>
    </w:p>
    <w:p w14:paraId="648A56AB">
      <w:pPr>
        <w:pStyle w:val="2"/>
        <w:keepNext w:val="0"/>
        <w:keepLines w:val="0"/>
        <w:pageBreakBefore w:val="0"/>
        <w:widowControl w:val="0"/>
        <w:numPr>
          <w:ilvl w:val="0"/>
          <w:numId w:val="0"/>
        </w:numPr>
        <w:kinsoku/>
        <w:wordWrap/>
        <w:overflowPunct/>
        <w:topLinePunct w:val="0"/>
        <w:bidi w:val="0"/>
        <w:snapToGrid/>
        <w:spacing w:after="0" w:line="460" w:lineRule="exact"/>
        <w:ind w:left="0" w:leftChars="0" w:firstLine="562" w:firstLineChars="200"/>
        <w:textAlignment w:val="auto"/>
        <w:rPr>
          <w:rFonts w:hint="eastAsia" w:ascii="宋体" w:hAnsi="宋体" w:eastAsia="宋体" w:cs="宋体"/>
          <w:b/>
          <w:bCs/>
          <w:color w:val="auto"/>
          <w:sz w:val="28"/>
          <w:szCs w:val="28"/>
          <w:lang w:val="en-US" w:eastAsia="zh-CN"/>
        </w:rPr>
      </w:pPr>
      <w:r>
        <w:rPr>
          <w:rFonts w:hint="eastAsia" w:ascii="宋体" w:hAnsi="宋体" w:eastAsia="宋体" w:cs="宋体"/>
          <w:b/>
          <w:bCs/>
          <w:color w:val="auto"/>
          <w:kern w:val="0"/>
          <w:sz w:val="28"/>
          <w:szCs w:val="28"/>
          <w:lang w:val="en-US" w:eastAsia="zh-CN" w:bidi="ar-SA"/>
        </w:rPr>
        <w:t xml:space="preserve">第四条 </w:t>
      </w:r>
      <w:r>
        <w:rPr>
          <w:rFonts w:hint="eastAsia" w:ascii="宋体" w:hAnsi="宋体" w:eastAsia="宋体" w:cs="宋体"/>
          <w:b/>
          <w:bCs/>
          <w:color w:val="auto"/>
          <w:sz w:val="28"/>
          <w:szCs w:val="28"/>
          <w:lang w:val="en-US" w:eastAsia="zh-CN"/>
        </w:rPr>
        <w:t>甲方的其他权利和义务</w:t>
      </w:r>
    </w:p>
    <w:p w14:paraId="3DEC9C09">
      <w:pPr>
        <w:pStyle w:val="4"/>
        <w:keepNext w:val="0"/>
        <w:keepLines w:val="0"/>
        <w:pageBreakBefore w:val="0"/>
        <w:widowControl w:val="0"/>
        <w:numPr>
          <w:ilvl w:val="0"/>
          <w:numId w:val="0"/>
        </w:numPr>
        <w:kinsoku/>
        <w:wordWrap/>
        <w:overflowPunct/>
        <w:topLinePunct w:val="0"/>
        <w:bidi w:val="0"/>
        <w:snapToGrid/>
        <w:spacing w:line="46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4.1 为乙方履行本合同服务提供必要工作条件，包括软件运行环境、硬件支持。</w:t>
      </w:r>
    </w:p>
    <w:p w14:paraId="51D49960">
      <w:pPr>
        <w:pStyle w:val="5"/>
        <w:keepNext w:val="0"/>
        <w:keepLines w:val="0"/>
        <w:pageBreakBefore w:val="0"/>
        <w:widowControl w:val="0"/>
        <w:kinsoku/>
        <w:wordWrap/>
        <w:overflowPunct/>
        <w:topLinePunct w:val="0"/>
        <w:bidi w:val="0"/>
        <w:snapToGrid/>
        <w:spacing w:line="460" w:lineRule="exact"/>
        <w:ind w:firstLine="56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4.2 定期做好系统数据备份并妥善保管。</w:t>
      </w:r>
    </w:p>
    <w:p w14:paraId="431BCB7D">
      <w:pPr>
        <w:pStyle w:val="5"/>
        <w:keepNext w:val="0"/>
        <w:keepLines w:val="0"/>
        <w:pageBreakBefore w:val="0"/>
        <w:widowControl w:val="0"/>
        <w:kinsoku/>
        <w:wordWrap/>
        <w:overflowPunct/>
        <w:topLinePunct w:val="0"/>
        <w:bidi w:val="0"/>
        <w:snapToGrid/>
        <w:spacing w:line="460" w:lineRule="exact"/>
        <w:ind w:firstLine="56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4.3 有权监督乙方服务质量，要求乙方在接到通知后</w:t>
      </w:r>
      <w:r>
        <w:rPr>
          <w:rFonts w:hint="eastAsia" w:ascii="宋体" w:hAnsi="宋体" w:eastAsia="宋体" w:cs="宋体"/>
          <w:color w:val="auto"/>
          <w:sz w:val="28"/>
          <w:szCs w:val="28"/>
          <w:u w:val="single"/>
          <w:lang w:val="en-US" w:eastAsia="zh-CN"/>
        </w:rPr>
        <w:t xml:space="preserve"> 7 </w:t>
      </w:r>
      <w:r>
        <w:rPr>
          <w:rFonts w:hint="eastAsia" w:ascii="宋体" w:hAnsi="宋体" w:eastAsia="宋体" w:cs="宋体"/>
          <w:color w:val="auto"/>
          <w:sz w:val="28"/>
          <w:szCs w:val="28"/>
          <w:lang w:val="en-US" w:eastAsia="zh-CN"/>
        </w:rPr>
        <w:t>日内更换不符合服务要求的工作人员。</w:t>
      </w:r>
    </w:p>
    <w:p w14:paraId="25BC700A">
      <w:pPr>
        <w:pStyle w:val="4"/>
        <w:keepNext w:val="0"/>
        <w:keepLines w:val="0"/>
        <w:pageBreakBefore w:val="0"/>
        <w:widowControl w:val="0"/>
        <w:numPr>
          <w:ilvl w:val="0"/>
          <w:numId w:val="0"/>
        </w:numPr>
        <w:kinsoku/>
        <w:wordWrap/>
        <w:overflowPunct/>
        <w:topLinePunct w:val="0"/>
        <w:bidi w:val="0"/>
        <w:snapToGrid/>
        <w:spacing w:line="46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4.</w:t>
      </w:r>
      <w:r>
        <w:rPr>
          <w:rFonts w:hint="eastAsia" w:ascii="宋体" w:hAnsi="宋体" w:cs="宋体"/>
          <w:color w:val="auto"/>
          <w:sz w:val="28"/>
          <w:szCs w:val="28"/>
          <w:lang w:val="en-US" w:eastAsia="zh-CN"/>
        </w:rPr>
        <w:t>4</w:t>
      </w:r>
      <w:r>
        <w:rPr>
          <w:rFonts w:hint="eastAsia" w:ascii="宋体" w:hAnsi="宋体" w:eastAsia="宋体" w:cs="宋体"/>
          <w:color w:val="auto"/>
          <w:sz w:val="28"/>
          <w:szCs w:val="28"/>
          <w:lang w:val="en-US" w:eastAsia="zh-CN"/>
        </w:rPr>
        <w:t xml:space="preserve"> 双方约定本合同项目最迟在合同生效后（以本合同签订时间为准）6个月内全部完成。如因乙方的原因导致未在6个月内完成的，甲方有权不支付任何费用，并要求乙方返还已经收取的费用；如因非乙方的原因导致未在6个月内完成的，乙方有权就累计已完成的履约部分收取款项，并有权提请甲方签订变更或终止协议。</w:t>
      </w:r>
    </w:p>
    <w:p w14:paraId="1EAEE129">
      <w:pPr>
        <w:pStyle w:val="4"/>
        <w:keepNext w:val="0"/>
        <w:keepLines w:val="0"/>
        <w:pageBreakBefore w:val="0"/>
        <w:widowControl w:val="0"/>
        <w:kinsoku/>
        <w:wordWrap/>
        <w:overflowPunct/>
        <w:topLinePunct w:val="0"/>
        <w:bidi w:val="0"/>
        <w:snapToGrid/>
        <w:spacing w:line="460" w:lineRule="exact"/>
        <w:ind w:left="0" w:leftChars="0" w:firstLine="560" w:firstLineChars="200"/>
        <w:textAlignment w:val="auto"/>
        <w:rPr>
          <w:rFonts w:hint="default"/>
          <w:color w:val="auto"/>
          <w:lang w:val="en-US" w:eastAsia="zh-CN"/>
        </w:rPr>
      </w:pPr>
      <w:r>
        <w:rPr>
          <w:rFonts w:hint="eastAsia" w:ascii="宋体" w:hAnsi="宋体" w:cs="宋体"/>
          <w:bCs/>
          <w:color w:val="auto"/>
          <w:kern w:val="2"/>
          <w:sz w:val="28"/>
          <w:szCs w:val="28"/>
          <w:highlight w:val="none"/>
          <w:lang w:val="en-US" w:eastAsia="zh-CN"/>
        </w:rPr>
        <w:t>4.5 甲方保证仅将本合同的软件应用于【娄底市中心医院】和无分院，不得将本软件销售或重新部署用于其他单位</w:t>
      </w:r>
      <w:r>
        <w:rPr>
          <w:rFonts w:hint="eastAsia" w:ascii="宋体" w:hAnsi="宋体" w:cs="宋体"/>
          <w:bCs/>
          <w:color w:val="auto"/>
          <w:kern w:val="2"/>
          <w:sz w:val="28"/>
          <w:szCs w:val="28"/>
          <w:highlight w:val="none"/>
          <w:lang w:val="zh-CN" w:eastAsia="zh-CN"/>
        </w:rPr>
        <w:t>。</w:t>
      </w:r>
    </w:p>
    <w:p w14:paraId="4B42DA1D">
      <w:pPr>
        <w:pStyle w:val="2"/>
        <w:keepNext w:val="0"/>
        <w:keepLines w:val="0"/>
        <w:pageBreakBefore w:val="0"/>
        <w:widowControl w:val="0"/>
        <w:kinsoku/>
        <w:wordWrap/>
        <w:overflowPunct/>
        <w:topLinePunct w:val="0"/>
        <w:bidi w:val="0"/>
        <w:snapToGrid/>
        <w:spacing w:after="0" w:line="460" w:lineRule="exact"/>
        <w:ind w:left="0" w:leftChars="0" w:firstLine="562" w:firstLineChars="200"/>
        <w:textAlignment w:val="auto"/>
        <w:rPr>
          <w:rFonts w:hint="eastAsia" w:ascii="宋体" w:hAnsi="宋体" w:eastAsia="宋体" w:cs="宋体"/>
          <w:b/>
          <w:bCs/>
          <w:color w:val="auto"/>
          <w:sz w:val="28"/>
          <w:szCs w:val="28"/>
          <w:lang w:val="en-US" w:eastAsia="zh-CN"/>
        </w:rPr>
      </w:pPr>
      <w:r>
        <w:rPr>
          <w:rFonts w:hint="eastAsia" w:ascii="宋体" w:hAnsi="宋体" w:eastAsia="宋体" w:cs="宋体"/>
          <w:b/>
          <w:bCs/>
          <w:color w:val="auto"/>
          <w:sz w:val="28"/>
          <w:szCs w:val="28"/>
          <w:lang w:val="en-US" w:eastAsia="zh-CN"/>
        </w:rPr>
        <w:t>第五条 乙方的其他权利和义务</w:t>
      </w:r>
    </w:p>
    <w:p w14:paraId="36B36EBC">
      <w:pPr>
        <w:pStyle w:val="5"/>
        <w:keepNext w:val="0"/>
        <w:keepLines w:val="0"/>
        <w:pageBreakBefore w:val="0"/>
        <w:widowControl w:val="0"/>
        <w:kinsoku/>
        <w:wordWrap/>
        <w:overflowPunct/>
        <w:topLinePunct w:val="0"/>
        <w:bidi w:val="0"/>
        <w:snapToGrid/>
        <w:spacing w:line="460" w:lineRule="exact"/>
        <w:ind w:firstLine="560" w:firstLineChars="200"/>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 xml:space="preserve">5.1 乙方服务必须符合国家法律法规和行业技术规范要求，遵守甲方制度，确保服务不存在任何网络安全及其他安全隐患，否则由乙方承担全部法律责任和经济赔偿。 </w:t>
      </w:r>
    </w:p>
    <w:p w14:paraId="1664A999">
      <w:pPr>
        <w:pStyle w:val="5"/>
        <w:keepNext w:val="0"/>
        <w:keepLines w:val="0"/>
        <w:pageBreakBefore w:val="0"/>
        <w:widowControl w:val="0"/>
        <w:kinsoku/>
        <w:wordWrap/>
        <w:overflowPunct/>
        <w:topLinePunct w:val="0"/>
        <w:bidi w:val="0"/>
        <w:snapToGrid/>
        <w:spacing w:line="460" w:lineRule="exact"/>
        <w:ind w:firstLine="560"/>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 xml:space="preserve">5.2 乙方确保履行本合同不会引发任何知识产权纠纷，否则由乙方承担全部法律责任和经济赔偿。 </w:t>
      </w:r>
    </w:p>
    <w:p w14:paraId="23750227">
      <w:pPr>
        <w:pStyle w:val="5"/>
        <w:keepNext w:val="0"/>
        <w:keepLines w:val="0"/>
        <w:pageBreakBefore w:val="0"/>
        <w:widowControl w:val="0"/>
        <w:kinsoku/>
        <w:wordWrap/>
        <w:overflowPunct/>
        <w:topLinePunct w:val="0"/>
        <w:bidi w:val="0"/>
        <w:snapToGrid/>
        <w:spacing w:line="460" w:lineRule="exact"/>
        <w:ind w:firstLine="560"/>
        <w:textAlignment w:val="auto"/>
        <w:rPr>
          <w:rFonts w:hint="default"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5.3 乙方不得未经甲方书面签字确认擅自上线接口，否则由乙方承担全部法律责任和经济赔偿。</w:t>
      </w:r>
    </w:p>
    <w:p w14:paraId="184D8DC9">
      <w:pPr>
        <w:pStyle w:val="5"/>
        <w:keepNext w:val="0"/>
        <w:keepLines w:val="0"/>
        <w:pageBreakBefore w:val="0"/>
        <w:widowControl w:val="0"/>
        <w:kinsoku/>
        <w:wordWrap/>
        <w:overflowPunct/>
        <w:topLinePunct w:val="0"/>
        <w:bidi w:val="0"/>
        <w:snapToGrid/>
        <w:spacing w:line="460" w:lineRule="exact"/>
        <w:ind w:firstLine="560" w:firstLineChars="200"/>
        <w:rPr>
          <w:rFonts w:hint="eastAsia" w:ascii="宋体" w:hAnsi="宋体" w:eastAsia="宋体" w:cs="宋体"/>
          <w:bCs/>
          <w:color w:val="auto"/>
          <w:kern w:val="2"/>
          <w:sz w:val="28"/>
          <w:szCs w:val="28"/>
          <w:highlight w:val="none"/>
          <w:lang w:val="en-US" w:eastAsia="zh-CN" w:bidi="ar-SA"/>
        </w:rPr>
      </w:pPr>
      <w:r>
        <w:rPr>
          <w:rFonts w:hint="eastAsia" w:ascii="宋体" w:hAnsi="宋体" w:eastAsia="宋体" w:cs="宋体"/>
          <w:bCs/>
          <w:color w:val="auto"/>
          <w:kern w:val="2"/>
          <w:sz w:val="28"/>
          <w:szCs w:val="28"/>
          <w:highlight w:val="none"/>
          <w:lang w:val="en-US" w:eastAsia="zh-CN" w:bidi="ar-SA"/>
        </w:rPr>
        <w:t xml:space="preserve">5.4 </w:t>
      </w:r>
      <w:r>
        <w:rPr>
          <w:rFonts w:hint="eastAsia" w:ascii="宋体" w:hAnsi="宋体" w:eastAsia="宋体" w:cs="宋体"/>
          <w:color w:val="auto"/>
          <w:sz w:val="28"/>
          <w:szCs w:val="28"/>
          <w:lang w:val="en-US" w:eastAsia="zh-CN"/>
        </w:rPr>
        <w:t>乙方完成接口程序后须先测试运行一周，保障产品质量和数据稳定性，甲方参与测试并确认，甲方确认后乙方方可上线</w:t>
      </w:r>
      <w:r>
        <w:rPr>
          <w:rFonts w:hint="eastAsia" w:ascii="宋体" w:hAnsi="宋体" w:eastAsia="宋体" w:cs="宋体"/>
          <w:bCs/>
          <w:color w:val="auto"/>
          <w:kern w:val="2"/>
          <w:sz w:val="28"/>
          <w:szCs w:val="28"/>
          <w:highlight w:val="none"/>
          <w:lang w:val="en-US" w:eastAsia="zh-CN" w:bidi="ar-SA"/>
        </w:rPr>
        <w:t>。</w:t>
      </w:r>
    </w:p>
    <w:p w14:paraId="41B0627D">
      <w:pPr>
        <w:pStyle w:val="2"/>
        <w:keepNext w:val="0"/>
        <w:keepLines w:val="0"/>
        <w:pageBreakBefore w:val="0"/>
        <w:widowControl w:val="0"/>
        <w:kinsoku/>
        <w:wordWrap/>
        <w:overflowPunct/>
        <w:topLinePunct w:val="0"/>
        <w:bidi w:val="0"/>
        <w:snapToGrid/>
        <w:spacing w:after="0" w:line="460" w:lineRule="exact"/>
        <w:ind w:left="0" w:leftChars="0" w:firstLine="560" w:firstLineChars="200"/>
        <w:rPr>
          <w:rFonts w:hint="default" w:ascii="Times New Roman" w:hAnsi="Times New Roman" w:eastAsia="宋体" w:cs="Times New Roman"/>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5.5 乙方拥有乙</w:t>
      </w:r>
      <w:r>
        <w:rPr>
          <w:rFonts w:hint="default" w:ascii="Times New Roman" w:hAnsi="Times New Roman" w:eastAsia="宋体" w:cs="Times New Roman"/>
          <w:color w:val="auto"/>
          <w:kern w:val="2"/>
          <w:sz w:val="28"/>
          <w:szCs w:val="28"/>
          <w:highlight w:val="none"/>
          <w:lang w:val="en-US" w:eastAsia="zh-CN" w:bidi="ar-SA"/>
        </w:rPr>
        <w:t>方编制的程序的版权，并拥有该软件在软件登记中心的申报权。</w:t>
      </w:r>
    </w:p>
    <w:p w14:paraId="6612F7CF">
      <w:pPr>
        <w:pStyle w:val="2"/>
        <w:keepNext w:val="0"/>
        <w:keepLines w:val="0"/>
        <w:pageBreakBefore w:val="0"/>
        <w:widowControl w:val="0"/>
        <w:kinsoku/>
        <w:wordWrap/>
        <w:overflowPunct/>
        <w:topLinePunct w:val="0"/>
        <w:bidi w:val="0"/>
        <w:snapToGrid/>
        <w:spacing w:line="460" w:lineRule="exact"/>
        <w:ind w:left="0" w:leftChars="0" w:firstLine="560" w:firstLineChars="200"/>
        <w:rPr>
          <w:rFonts w:hint="eastAsia" w:ascii="宋体" w:hAnsi="宋体" w:eastAsia="宋体" w:cs="宋体"/>
          <w:color w:val="auto"/>
          <w:kern w:val="2"/>
          <w:sz w:val="28"/>
          <w:szCs w:val="28"/>
          <w:highlight w:val="none"/>
          <w:lang w:val="en-US" w:eastAsia="zh-CN"/>
        </w:rPr>
      </w:pPr>
      <w:r>
        <w:rPr>
          <w:rFonts w:hint="eastAsia" w:ascii="宋体" w:hAnsi="宋体" w:eastAsia="宋体" w:cs="宋体"/>
          <w:color w:val="auto"/>
          <w:kern w:val="2"/>
          <w:sz w:val="28"/>
          <w:szCs w:val="28"/>
          <w:highlight w:val="none"/>
          <w:lang w:val="en-US" w:eastAsia="zh-CN"/>
        </w:rPr>
        <w:t>5.6 乙方有权就累计已完成的履约部分收取对应款项。</w:t>
      </w:r>
    </w:p>
    <w:p w14:paraId="37F3881D">
      <w:pPr>
        <w:pStyle w:val="5"/>
        <w:keepNext w:val="0"/>
        <w:keepLines w:val="0"/>
        <w:pageBreakBefore w:val="0"/>
        <w:widowControl w:val="0"/>
        <w:kinsoku/>
        <w:wordWrap/>
        <w:overflowPunct/>
        <w:topLinePunct w:val="0"/>
        <w:bidi w:val="0"/>
        <w:snapToGrid/>
        <w:spacing w:line="460" w:lineRule="exact"/>
        <w:ind w:firstLine="560"/>
        <w:textAlignment w:val="auto"/>
        <w:rPr>
          <w:rFonts w:hint="default" w:ascii="宋体" w:hAnsi="宋体" w:eastAsia="宋体" w:cs="宋体"/>
          <w:b/>
          <w:bCs/>
          <w:color w:val="auto"/>
          <w:kern w:val="0"/>
          <w:sz w:val="28"/>
          <w:szCs w:val="28"/>
          <w:lang w:val="en-US" w:eastAsia="zh-CN" w:bidi="ar-SA"/>
        </w:rPr>
      </w:pPr>
      <w:r>
        <w:rPr>
          <w:rFonts w:hint="eastAsia" w:ascii="宋体" w:hAnsi="宋体" w:eastAsia="宋体" w:cs="宋体"/>
          <w:b/>
          <w:bCs/>
          <w:color w:val="auto"/>
          <w:kern w:val="0"/>
          <w:sz w:val="28"/>
          <w:szCs w:val="28"/>
          <w:lang w:val="en-US" w:eastAsia="zh-CN" w:bidi="ar-SA"/>
        </w:rPr>
        <w:t>第六条 保密条款</w:t>
      </w:r>
    </w:p>
    <w:p w14:paraId="677596E0">
      <w:pPr>
        <w:pStyle w:val="5"/>
        <w:keepNext w:val="0"/>
        <w:keepLines w:val="0"/>
        <w:pageBreakBefore w:val="0"/>
        <w:widowControl w:val="0"/>
        <w:kinsoku/>
        <w:wordWrap/>
        <w:overflowPunct/>
        <w:topLinePunct w:val="0"/>
        <w:bidi w:val="0"/>
        <w:snapToGrid/>
        <w:spacing w:line="460" w:lineRule="exact"/>
        <w:ind w:firstLine="560"/>
        <w:textAlignment w:val="auto"/>
        <w:rPr>
          <w:rFonts w:hint="eastAsia" w:ascii="宋体" w:hAnsi="宋体" w:eastAsia="宋体" w:cs="宋体"/>
          <w:b w:val="0"/>
          <w:bCs w:val="0"/>
          <w:color w:val="auto"/>
          <w:kern w:val="0"/>
          <w:sz w:val="28"/>
          <w:szCs w:val="28"/>
          <w:lang w:val="en-US" w:eastAsia="zh-CN" w:bidi="ar-SA"/>
        </w:rPr>
      </w:pPr>
      <w:r>
        <w:rPr>
          <w:rFonts w:hint="eastAsia" w:ascii="宋体" w:hAnsi="宋体" w:eastAsia="宋体" w:cs="宋体"/>
          <w:b w:val="0"/>
          <w:bCs w:val="0"/>
          <w:color w:val="auto"/>
          <w:kern w:val="0"/>
          <w:sz w:val="28"/>
          <w:szCs w:val="28"/>
          <w:lang w:val="en-US" w:eastAsia="zh-CN" w:bidi="ar-SA"/>
        </w:rPr>
        <w:t>6.1 本合同履行中涉及的以下信息均属保密信息：</w:t>
      </w:r>
    </w:p>
    <w:p w14:paraId="54214F2C">
      <w:pPr>
        <w:pStyle w:val="5"/>
        <w:keepNext w:val="0"/>
        <w:keepLines w:val="0"/>
        <w:pageBreakBefore w:val="0"/>
        <w:widowControl w:val="0"/>
        <w:kinsoku/>
        <w:wordWrap/>
        <w:overflowPunct/>
        <w:topLinePunct w:val="0"/>
        <w:bidi w:val="0"/>
        <w:snapToGrid/>
        <w:spacing w:line="460" w:lineRule="exact"/>
        <w:ind w:firstLine="560"/>
        <w:textAlignment w:val="auto"/>
        <w:rPr>
          <w:rFonts w:hint="eastAsia" w:ascii="宋体" w:hAnsi="宋体" w:eastAsia="宋体" w:cs="宋体"/>
          <w:b w:val="0"/>
          <w:bCs w:val="0"/>
          <w:color w:val="auto"/>
          <w:kern w:val="0"/>
          <w:sz w:val="28"/>
          <w:szCs w:val="28"/>
          <w:lang w:val="en-US" w:eastAsia="zh-CN" w:bidi="ar-SA"/>
        </w:rPr>
      </w:pPr>
      <w:r>
        <w:rPr>
          <w:rFonts w:hint="eastAsia" w:ascii="宋体" w:hAnsi="宋体" w:eastAsia="宋体" w:cs="宋体"/>
          <w:b w:val="0"/>
          <w:bCs w:val="0"/>
          <w:color w:val="auto"/>
          <w:kern w:val="0"/>
          <w:sz w:val="28"/>
          <w:szCs w:val="28"/>
          <w:lang w:val="en-US" w:eastAsia="zh-CN" w:bidi="ar-SA"/>
        </w:rPr>
        <w:t>6.1.1 双方就合同订立、履行、变更等产生的研究、商讨、交流等信息。</w:t>
      </w:r>
    </w:p>
    <w:p w14:paraId="26A5D952">
      <w:pPr>
        <w:pStyle w:val="5"/>
        <w:keepNext w:val="0"/>
        <w:keepLines w:val="0"/>
        <w:pageBreakBefore w:val="0"/>
        <w:widowControl w:val="0"/>
        <w:kinsoku/>
        <w:wordWrap/>
        <w:overflowPunct/>
        <w:topLinePunct w:val="0"/>
        <w:bidi w:val="0"/>
        <w:snapToGrid/>
        <w:spacing w:line="460" w:lineRule="exact"/>
        <w:ind w:firstLine="560"/>
        <w:textAlignment w:val="auto"/>
        <w:rPr>
          <w:rFonts w:hint="eastAsia" w:ascii="宋体" w:hAnsi="宋体" w:eastAsia="宋体" w:cs="宋体"/>
          <w:b w:val="0"/>
          <w:bCs w:val="0"/>
          <w:color w:val="auto"/>
          <w:kern w:val="0"/>
          <w:sz w:val="28"/>
          <w:szCs w:val="28"/>
          <w:lang w:val="en-US" w:eastAsia="zh-CN" w:bidi="ar-SA"/>
        </w:rPr>
      </w:pPr>
      <w:r>
        <w:rPr>
          <w:rFonts w:hint="eastAsia" w:ascii="宋体" w:hAnsi="宋体" w:eastAsia="宋体" w:cs="宋体"/>
          <w:b w:val="0"/>
          <w:bCs w:val="0"/>
          <w:color w:val="auto"/>
          <w:kern w:val="0"/>
          <w:sz w:val="28"/>
          <w:szCs w:val="28"/>
          <w:lang w:val="en-US" w:eastAsia="zh-CN" w:bidi="ar-SA"/>
        </w:rPr>
        <w:t>6.1.2 甲方相关信息：</w:t>
      </w:r>
    </w:p>
    <w:p w14:paraId="37722E06">
      <w:pPr>
        <w:pStyle w:val="5"/>
        <w:keepNext w:val="0"/>
        <w:keepLines w:val="0"/>
        <w:pageBreakBefore w:val="0"/>
        <w:widowControl w:val="0"/>
        <w:kinsoku/>
        <w:wordWrap/>
        <w:overflowPunct/>
        <w:topLinePunct w:val="0"/>
        <w:bidi w:val="0"/>
        <w:snapToGrid/>
        <w:spacing w:line="460" w:lineRule="exact"/>
        <w:ind w:firstLine="560"/>
        <w:textAlignment w:val="auto"/>
        <w:rPr>
          <w:rFonts w:hint="eastAsia" w:ascii="宋体" w:hAnsi="宋体" w:eastAsia="宋体" w:cs="宋体"/>
          <w:b w:val="0"/>
          <w:bCs w:val="0"/>
          <w:color w:val="auto"/>
          <w:kern w:val="0"/>
          <w:sz w:val="28"/>
          <w:szCs w:val="28"/>
          <w:lang w:val="en-US" w:eastAsia="zh-CN" w:bidi="ar-SA"/>
        </w:rPr>
      </w:pPr>
      <w:r>
        <w:rPr>
          <w:rFonts w:hint="eastAsia" w:ascii="宋体" w:hAnsi="宋体" w:eastAsia="宋体" w:cs="宋体"/>
          <w:b w:val="0"/>
          <w:bCs w:val="0"/>
          <w:color w:val="auto"/>
          <w:kern w:val="0"/>
          <w:sz w:val="28"/>
          <w:szCs w:val="28"/>
          <w:lang w:val="en-US" w:eastAsia="zh-CN" w:bidi="ar-SA"/>
        </w:rPr>
        <w:t>6.1.2.1 技术信息，包括涉及甲方信息化建设中的技术信息，包括软件技术、数据、管理文件等。</w:t>
      </w:r>
    </w:p>
    <w:p w14:paraId="47C37320">
      <w:pPr>
        <w:pStyle w:val="5"/>
        <w:keepNext w:val="0"/>
        <w:keepLines w:val="0"/>
        <w:pageBreakBefore w:val="0"/>
        <w:widowControl w:val="0"/>
        <w:kinsoku/>
        <w:wordWrap/>
        <w:overflowPunct/>
        <w:topLinePunct w:val="0"/>
        <w:bidi w:val="0"/>
        <w:snapToGrid/>
        <w:spacing w:line="460" w:lineRule="exact"/>
        <w:ind w:firstLine="560"/>
        <w:textAlignment w:val="auto"/>
        <w:rPr>
          <w:rFonts w:hint="eastAsia" w:ascii="宋体" w:hAnsi="宋体" w:eastAsia="宋体" w:cs="宋体"/>
          <w:b w:val="0"/>
          <w:bCs w:val="0"/>
          <w:color w:val="auto"/>
          <w:kern w:val="0"/>
          <w:sz w:val="28"/>
          <w:szCs w:val="28"/>
          <w:lang w:val="en-US" w:eastAsia="zh-CN" w:bidi="ar-SA"/>
        </w:rPr>
      </w:pPr>
      <w:r>
        <w:rPr>
          <w:rFonts w:hint="eastAsia" w:ascii="宋体" w:hAnsi="宋体" w:eastAsia="宋体" w:cs="宋体"/>
          <w:b w:val="0"/>
          <w:bCs w:val="0"/>
          <w:color w:val="auto"/>
          <w:kern w:val="0"/>
          <w:sz w:val="28"/>
          <w:szCs w:val="28"/>
          <w:lang w:val="en-US" w:eastAsia="zh-CN" w:bidi="ar-SA"/>
        </w:rPr>
        <w:t>6.1.2.2 人事信息，包括涉及甲方的人事档案、薪酬及考核等人力资源管理信息。</w:t>
      </w:r>
    </w:p>
    <w:p w14:paraId="03C70E71">
      <w:pPr>
        <w:pStyle w:val="5"/>
        <w:keepNext w:val="0"/>
        <w:keepLines w:val="0"/>
        <w:pageBreakBefore w:val="0"/>
        <w:widowControl w:val="0"/>
        <w:kinsoku/>
        <w:wordWrap/>
        <w:overflowPunct/>
        <w:topLinePunct w:val="0"/>
        <w:bidi w:val="0"/>
        <w:snapToGrid/>
        <w:spacing w:line="460" w:lineRule="exact"/>
        <w:ind w:firstLine="560"/>
        <w:textAlignment w:val="auto"/>
        <w:rPr>
          <w:rFonts w:hint="eastAsia" w:ascii="宋体" w:hAnsi="宋体" w:eastAsia="宋体" w:cs="宋体"/>
          <w:b w:val="0"/>
          <w:bCs w:val="0"/>
          <w:color w:val="auto"/>
          <w:kern w:val="0"/>
          <w:sz w:val="28"/>
          <w:szCs w:val="28"/>
          <w:lang w:val="en-US" w:eastAsia="zh-CN" w:bidi="ar-SA"/>
        </w:rPr>
      </w:pPr>
      <w:r>
        <w:rPr>
          <w:rFonts w:hint="eastAsia" w:ascii="宋体" w:hAnsi="宋体" w:eastAsia="宋体" w:cs="宋体"/>
          <w:b w:val="0"/>
          <w:bCs w:val="0"/>
          <w:color w:val="auto"/>
          <w:kern w:val="0"/>
          <w:sz w:val="28"/>
          <w:szCs w:val="28"/>
          <w:lang w:val="en-US" w:eastAsia="zh-CN" w:bidi="ar-SA"/>
        </w:rPr>
        <w:t>6.1.2.3 医院运行信息，包括涉及甲方业务运行的各种信息，医院经营方向、经营决策、定价政策以及内部掌握的合同、协议、项目方案等。</w:t>
      </w:r>
    </w:p>
    <w:p w14:paraId="57E0DA23">
      <w:pPr>
        <w:pStyle w:val="5"/>
        <w:keepNext w:val="0"/>
        <w:keepLines w:val="0"/>
        <w:pageBreakBefore w:val="0"/>
        <w:widowControl w:val="0"/>
        <w:kinsoku/>
        <w:wordWrap/>
        <w:overflowPunct/>
        <w:topLinePunct w:val="0"/>
        <w:bidi w:val="0"/>
        <w:snapToGrid/>
        <w:spacing w:line="460" w:lineRule="exact"/>
        <w:ind w:firstLine="560"/>
        <w:textAlignment w:val="auto"/>
        <w:rPr>
          <w:rFonts w:hint="eastAsia" w:ascii="宋体" w:hAnsi="宋体" w:eastAsia="宋体" w:cs="宋体"/>
          <w:b w:val="0"/>
          <w:bCs w:val="0"/>
          <w:color w:val="auto"/>
          <w:kern w:val="0"/>
          <w:sz w:val="28"/>
          <w:szCs w:val="28"/>
          <w:lang w:val="en-US" w:eastAsia="zh-CN" w:bidi="ar-SA"/>
        </w:rPr>
      </w:pPr>
      <w:r>
        <w:rPr>
          <w:rFonts w:hint="eastAsia" w:ascii="宋体" w:hAnsi="宋体" w:eastAsia="宋体" w:cs="宋体"/>
          <w:b w:val="0"/>
          <w:bCs w:val="0"/>
          <w:color w:val="auto"/>
          <w:kern w:val="0"/>
          <w:sz w:val="28"/>
          <w:szCs w:val="28"/>
          <w:lang w:val="en-US" w:eastAsia="zh-CN" w:bidi="ar-SA"/>
        </w:rPr>
        <w:t>6.1.2.4 财务信息，包括涉及甲方的各项财务报表、成本及预算报告、员工工资等。</w:t>
      </w:r>
    </w:p>
    <w:p w14:paraId="0ACC4118">
      <w:pPr>
        <w:pStyle w:val="5"/>
        <w:keepNext w:val="0"/>
        <w:keepLines w:val="0"/>
        <w:pageBreakBefore w:val="0"/>
        <w:widowControl w:val="0"/>
        <w:kinsoku/>
        <w:wordWrap/>
        <w:overflowPunct/>
        <w:topLinePunct w:val="0"/>
        <w:bidi w:val="0"/>
        <w:snapToGrid/>
        <w:spacing w:line="460" w:lineRule="exact"/>
        <w:ind w:firstLine="560"/>
        <w:textAlignment w:val="auto"/>
        <w:rPr>
          <w:rFonts w:hint="eastAsia" w:ascii="宋体" w:hAnsi="宋体" w:eastAsia="宋体" w:cs="宋体"/>
          <w:b w:val="0"/>
          <w:bCs w:val="0"/>
          <w:color w:val="auto"/>
          <w:kern w:val="0"/>
          <w:sz w:val="28"/>
          <w:szCs w:val="28"/>
          <w:lang w:val="en-US" w:eastAsia="zh-CN" w:bidi="ar-SA"/>
        </w:rPr>
      </w:pPr>
      <w:r>
        <w:rPr>
          <w:rFonts w:hint="eastAsia" w:ascii="宋体" w:hAnsi="宋体" w:eastAsia="宋体" w:cs="宋体"/>
          <w:b w:val="0"/>
          <w:bCs w:val="0"/>
          <w:color w:val="auto"/>
          <w:kern w:val="0"/>
          <w:sz w:val="28"/>
          <w:szCs w:val="28"/>
          <w:lang w:val="en-US" w:eastAsia="zh-CN" w:bidi="ar-SA"/>
        </w:rPr>
        <w:t>6.1.2.5 患者信息，包括涉及甲方门诊、住院患者的相关诊疗信息，如患者基本信息、诊疗计划、病历信息、费用信息、处方等。</w:t>
      </w:r>
    </w:p>
    <w:p w14:paraId="64FA1297">
      <w:pPr>
        <w:pStyle w:val="5"/>
        <w:keepNext w:val="0"/>
        <w:keepLines w:val="0"/>
        <w:pageBreakBefore w:val="0"/>
        <w:widowControl w:val="0"/>
        <w:kinsoku/>
        <w:wordWrap/>
        <w:overflowPunct/>
        <w:topLinePunct w:val="0"/>
        <w:bidi w:val="0"/>
        <w:snapToGrid/>
        <w:spacing w:line="460" w:lineRule="exact"/>
        <w:ind w:firstLine="560"/>
        <w:textAlignment w:val="auto"/>
        <w:rPr>
          <w:rFonts w:hint="eastAsia" w:ascii="宋体" w:hAnsi="宋体" w:eastAsia="宋体" w:cs="宋体"/>
          <w:b w:val="0"/>
          <w:bCs w:val="0"/>
          <w:color w:val="auto"/>
          <w:kern w:val="0"/>
          <w:sz w:val="28"/>
          <w:szCs w:val="28"/>
          <w:lang w:val="en-US" w:eastAsia="zh-CN" w:bidi="ar-SA"/>
        </w:rPr>
      </w:pPr>
      <w:r>
        <w:rPr>
          <w:rFonts w:hint="eastAsia" w:ascii="宋体" w:hAnsi="宋体" w:eastAsia="宋体" w:cs="宋体"/>
          <w:b w:val="0"/>
          <w:bCs w:val="0"/>
          <w:color w:val="auto"/>
          <w:kern w:val="0"/>
          <w:sz w:val="28"/>
          <w:szCs w:val="28"/>
          <w:lang w:val="en-US" w:eastAsia="zh-CN" w:bidi="ar-SA"/>
        </w:rPr>
        <w:t>6.1.3 应当予以保密的其他商业秘密、个人隐私等信息。</w:t>
      </w:r>
    </w:p>
    <w:p w14:paraId="175D8E65">
      <w:pPr>
        <w:pStyle w:val="5"/>
        <w:keepNext w:val="0"/>
        <w:keepLines w:val="0"/>
        <w:pageBreakBefore w:val="0"/>
        <w:widowControl w:val="0"/>
        <w:kinsoku/>
        <w:wordWrap/>
        <w:overflowPunct/>
        <w:topLinePunct w:val="0"/>
        <w:bidi w:val="0"/>
        <w:snapToGrid/>
        <w:spacing w:line="460" w:lineRule="exact"/>
        <w:ind w:firstLine="560"/>
        <w:textAlignment w:val="auto"/>
        <w:rPr>
          <w:rFonts w:hint="eastAsia" w:ascii="宋体" w:hAnsi="宋体" w:eastAsia="宋体" w:cs="宋体"/>
          <w:b w:val="0"/>
          <w:bCs w:val="0"/>
          <w:color w:val="auto"/>
          <w:kern w:val="0"/>
          <w:sz w:val="28"/>
          <w:szCs w:val="28"/>
          <w:lang w:val="en-US" w:eastAsia="zh-CN" w:bidi="ar-SA"/>
        </w:rPr>
      </w:pPr>
      <w:r>
        <w:rPr>
          <w:rFonts w:hint="eastAsia" w:ascii="宋体" w:hAnsi="宋体" w:eastAsia="宋体" w:cs="宋体"/>
          <w:b w:val="0"/>
          <w:bCs w:val="0"/>
          <w:color w:val="auto"/>
          <w:kern w:val="0"/>
          <w:sz w:val="28"/>
          <w:szCs w:val="28"/>
          <w:lang w:val="en-US" w:eastAsia="zh-CN" w:bidi="ar-SA"/>
        </w:rPr>
        <w:t>6.2 任意一方未经对方书面同意，不得将保密信息用于任何非本合同之目的用途，不得将保密信息透露给任何第三方，不得允许（出借、赠予、出租、转让等处理保密信息的行为皆属于“允许”）或协助未经授权的第三方使用保密信息。</w:t>
      </w:r>
    </w:p>
    <w:p w14:paraId="7769CB50">
      <w:pPr>
        <w:pStyle w:val="5"/>
        <w:keepNext w:val="0"/>
        <w:keepLines w:val="0"/>
        <w:pageBreakBefore w:val="0"/>
        <w:widowControl w:val="0"/>
        <w:kinsoku/>
        <w:wordWrap/>
        <w:overflowPunct/>
        <w:topLinePunct w:val="0"/>
        <w:bidi w:val="0"/>
        <w:snapToGrid/>
        <w:spacing w:line="460" w:lineRule="exact"/>
        <w:ind w:firstLine="560"/>
        <w:textAlignment w:val="auto"/>
        <w:rPr>
          <w:rFonts w:hint="eastAsia" w:ascii="宋体" w:hAnsi="宋体" w:eastAsia="宋体" w:cs="宋体"/>
          <w:b w:val="0"/>
          <w:bCs w:val="0"/>
          <w:color w:val="auto"/>
          <w:kern w:val="0"/>
          <w:sz w:val="28"/>
          <w:szCs w:val="28"/>
          <w:lang w:val="en-US" w:eastAsia="zh-CN" w:bidi="ar-SA"/>
        </w:rPr>
      </w:pPr>
      <w:r>
        <w:rPr>
          <w:rFonts w:hint="eastAsia" w:ascii="宋体" w:hAnsi="宋体" w:eastAsia="宋体" w:cs="宋体"/>
          <w:b w:val="0"/>
          <w:bCs w:val="0"/>
          <w:color w:val="auto"/>
          <w:kern w:val="0"/>
          <w:sz w:val="28"/>
          <w:szCs w:val="28"/>
          <w:lang w:val="en-US" w:eastAsia="zh-CN" w:bidi="ar-SA"/>
        </w:rPr>
        <w:t>6.3 乙方向甲方提供从甲方获取的保密信息的保密密级及知悉保密信息的范围，在乙方上述人员知悉该保密信息前，应向其提示保密信息的保密性和应承担的义务，并保证上述人员以书面形式同意接受保密条款的约束，确保上述人员承担保密责任的程度不低于本合同规定的程度。</w:t>
      </w:r>
    </w:p>
    <w:p w14:paraId="28A0FD90">
      <w:pPr>
        <w:pStyle w:val="5"/>
        <w:keepNext w:val="0"/>
        <w:keepLines w:val="0"/>
        <w:pageBreakBefore w:val="0"/>
        <w:widowControl w:val="0"/>
        <w:kinsoku/>
        <w:wordWrap/>
        <w:overflowPunct/>
        <w:topLinePunct w:val="0"/>
        <w:bidi w:val="0"/>
        <w:snapToGrid/>
        <w:spacing w:line="460" w:lineRule="exact"/>
        <w:ind w:firstLine="560"/>
        <w:textAlignment w:val="auto"/>
        <w:rPr>
          <w:rFonts w:hint="eastAsia" w:ascii="宋体" w:hAnsi="宋体" w:eastAsia="宋体" w:cs="宋体"/>
          <w:b w:val="0"/>
          <w:bCs w:val="0"/>
          <w:color w:val="auto"/>
          <w:kern w:val="0"/>
          <w:sz w:val="28"/>
          <w:szCs w:val="28"/>
          <w:lang w:val="en-US" w:eastAsia="zh-CN" w:bidi="ar-SA"/>
        </w:rPr>
      </w:pPr>
      <w:r>
        <w:rPr>
          <w:rFonts w:hint="eastAsia" w:ascii="宋体" w:hAnsi="宋体" w:eastAsia="宋体" w:cs="宋体"/>
          <w:b w:val="0"/>
          <w:bCs w:val="0"/>
          <w:color w:val="auto"/>
          <w:kern w:val="0"/>
          <w:sz w:val="28"/>
          <w:szCs w:val="28"/>
          <w:lang w:val="en-US" w:eastAsia="zh-CN" w:bidi="ar-SA"/>
        </w:rPr>
        <w:t>6.4 如果乙方被要求向政府部门、法院或其他有权部门提供保密信息，乙方在可能的情况下，应立即向甲方予以通报。</w:t>
      </w:r>
    </w:p>
    <w:p w14:paraId="7CD337F6">
      <w:pPr>
        <w:pStyle w:val="5"/>
        <w:keepNext w:val="0"/>
        <w:keepLines w:val="0"/>
        <w:pageBreakBefore w:val="0"/>
        <w:widowControl w:val="0"/>
        <w:kinsoku/>
        <w:wordWrap/>
        <w:overflowPunct/>
        <w:topLinePunct w:val="0"/>
        <w:bidi w:val="0"/>
        <w:snapToGrid/>
        <w:spacing w:line="460" w:lineRule="exact"/>
        <w:ind w:firstLine="560"/>
        <w:textAlignment w:val="auto"/>
        <w:rPr>
          <w:rFonts w:hint="eastAsia" w:ascii="宋体" w:hAnsi="宋体" w:eastAsia="宋体" w:cs="宋体"/>
          <w:b w:val="0"/>
          <w:bCs w:val="0"/>
          <w:color w:val="auto"/>
          <w:kern w:val="0"/>
          <w:sz w:val="28"/>
          <w:szCs w:val="28"/>
          <w:lang w:val="en-US" w:eastAsia="zh-CN" w:bidi="ar-SA"/>
        </w:rPr>
      </w:pPr>
      <w:r>
        <w:rPr>
          <w:rFonts w:hint="eastAsia" w:ascii="宋体" w:hAnsi="宋体" w:eastAsia="宋体" w:cs="宋体"/>
          <w:b w:val="0"/>
          <w:bCs w:val="0"/>
          <w:color w:val="auto"/>
          <w:kern w:val="0"/>
          <w:sz w:val="28"/>
          <w:szCs w:val="28"/>
          <w:lang w:val="en-US" w:eastAsia="zh-CN" w:bidi="ar-SA"/>
        </w:rPr>
        <w:t>6.5 本合同约定的保密信息为永久绝对保密，保密条款在本合同终止后仍然有效。</w:t>
      </w:r>
    </w:p>
    <w:p w14:paraId="7B8C02D1">
      <w:pPr>
        <w:pStyle w:val="5"/>
        <w:keepNext w:val="0"/>
        <w:keepLines w:val="0"/>
        <w:pageBreakBefore w:val="0"/>
        <w:widowControl w:val="0"/>
        <w:kinsoku/>
        <w:wordWrap/>
        <w:overflowPunct/>
        <w:topLinePunct w:val="0"/>
        <w:bidi w:val="0"/>
        <w:snapToGrid/>
        <w:spacing w:line="460" w:lineRule="exact"/>
        <w:ind w:firstLine="560"/>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b/>
          <w:bCs/>
          <w:color w:val="auto"/>
          <w:kern w:val="0"/>
          <w:sz w:val="28"/>
          <w:szCs w:val="28"/>
          <w:lang w:val="en-US" w:eastAsia="zh-CN" w:bidi="ar-SA"/>
        </w:rPr>
        <w:t>第七条 费用及支付方式</w:t>
      </w:r>
    </w:p>
    <w:p w14:paraId="52224FE0">
      <w:pPr>
        <w:pStyle w:val="5"/>
        <w:keepNext w:val="0"/>
        <w:keepLines w:val="0"/>
        <w:pageBreakBefore w:val="0"/>
        <w:widowControl w:val="0"/>
        <w:kinsoku/>
        <w:wordWrap/>
        <w:overflowPunct/>
        <w:topLinePunct w:val="0"/>
        <w:bidi w:val="0"/>
        <w:snapToGrid/>
        <w:spacing w:line="460" w:lineRule="exact"/>
        <w:ind w:firstLine="560"/>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 xml:space="preserve">7.1 本合同接口服务费用总计人民币   </w:t>
      </w:r>
      <w:r>
        <w:rPr>
          <w:rFonts w:hint="eastAsia" w:ascii="宋体" w:hAnsi="宋体" w:eastAsia="宋体" w:cs="宋体"/>
          <w:color w:val="auto"/>
          <w:kern w:val="0"/>
          <w:sz w:val="28"/>
          <w:szCs w:val="28"/>
          <w:u w:val="single"/>
          <w:lang w:val="en-US" w:eastAsia="zh-CN" w:bidi="ar-SA"/>
        </w:rPr>
        <w:t>整</w:t>
      </w:r>
      <w:r>
        <w:rPr>
          <w:rFonts w:hint="eastAsia" w:ascii="宋体" w:hAnsi="宋体" w:eastAsia="宋体" w:cs="宋体"/>
          <w:color w:val="auto"/>
          <w:kern w:val="0"/>
          <w:sz w:val="28"/>
          <w:szCs w:val="28"/>
          <w:lang w:val="en-US" w:eastAsia="zh-CN" w:bidi="ar-SA"/>
        </w:rPr>
        <w:t>（小写：   元），已包含软件系统费、模块制作安装费、服务费、运输费、包装费、保险费、装卸费、搬运费、安装调试费、安装材料费、检测检验费、培训费、售后服务费、知识产权许可使用、软件升级费用、税费等全部费用，甲方不再就本合同约定范围内的服务支付任何其他费用。</w:t>
      </w:r>
    </w:p>
    <w:p w14:paraId="188A55B2">
      <w:pPr>
        <w:pStyle w:val="5"/>
        <w:keepNext w:val="0"/>
        <w:keepLines w:val="0"/>
        <w:pageBreakBefore w:val="0"/>
        <w:widowControl w:val="0"/>
        <w:kinsoku/>
        <w:wordWrap/>
        <w:overflowPunct/>
        <w:topLinePunct w:val="0"/>
        <w:bidi w:val="0"/>
        <w:snapToGrid/>
        <w:spacing w:line="460" w:lineRule="exact"/>
        <w:ind w:firstLine="560"/>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7.2 甲方通过银行转账</w:t>
      </w:r>
      <w:r>
        <w:rPr>
          <w:rFonts w:hint="eastAsia" w:ascii="宋体" w:hAnsi="宋体" w:eastAsia="宋体" w:cs="宋体"/>
          <w:color w:val="FF0000"/>
          <w:kern w:val="0"/>
          <w:sz w:val="28"/>
          <w:szCs w:val="28"/>
          <w:lang w:val="en-US" w:eastAsia="zh-CN" w:bidi="ar-SA"/>
        </w:rPr>
        <w:t>支付</w:t>
      </w:r>
      <w:r>
        <w:rPr>
          <w:rFonts w:hint="eastAsia" w:ascii="宋体" w:hAnsi="宋体" w:eastAsia="宋体" w:cs="宋体"/>
          <w:color w:val="auto"/>
          <w:kern w:val="0"/>
          <w:sz w:val="28"/>
          <w:szCs w:val="28"/>
          <w:lang w:val="en-US" w:eastAsia="zh-CN" w:bidi="ar-SA"/>
        </w:rPr>
        <w:t>服务费用至乙方指定收款账户：自</w:t>
      </w:r>
      <w:r>
        <w:rPr>
          <w:rFonts w:hint="eastAsia" w:ascii="宋体" w:hAnsi="宋体" w:eastAsia="宋体" w:cs="宋体"/>
          <w:color w:val="FF0000"/>
          <w:kern w:val="0"/>
          <w:sz w:val="28"/>
          <w:szCs w:val="28"/>
          <w:lang w:val="en-US" w:eastAsia="zh-CN" w:bidi="ar-SA"/>
        </w:rPr>
        <w:t>本合同服务全部验收合格</w:t>
      </w:r>
      <w:r>
        <w:rPr>
          <w:rFonts w:hint="eastAsia" w:ascii="宋体" w:hAnsi="宋体" w:eastAsia="宋体" w:cs="宋体"/>
          <w:color w:val="auto"/>
          <w:kern w:val="0"/>
          <w:sz w:val="28"/>
          <w:szCs w:val="28"/>
          <w:lang w:val="en-US" w:eastAsia="zh-CN" w:bidi="ar-SA"/>
        </w:rPr>
        <w:t>后</w:t>
      </w:r>
      <w:r>
        <w:rPr>
          <w:rFonts w:hint="eastAsia" w:ascii="宋体" w:hAnsi="宋体" w:eastAsia="宋体" w:cs="宋体"/>
          <w:color w:val="auto"/>
          <w:kern w:val="0"/>
          <w:sz w:val="28"/>
          <w:szCs w:val="28"/>
          <w:u w:val="single"/>
          <w:lang w:val="en-US" w:eastAsia="zh-CN" w:bidi="ar-SA"/>
        </w:rPr>
        <w:t xml:space="preserve">    </w:t>
      </w:r>
      <w:r>
        <w:rPr>
          <w:rFonts w:hint="eastAsia" w:ascii="宋体" w:hAnsi="宋体" w:eastAsia="宋体" w:cs="宋体"/>
          <w:color w:val="auto"/>
          <w:kern w:val="0"/>
          <w:sz w:val="28"/>
          <w:szCs w:val="28"/>
          <w:lang w:val="en-US" w:eastAsia="zh-CN" w:bidi="ar-SA"/>
        </w:rPr>
        <w:t>日内，</w:t>
      </w:r>
      <w:r>
        <w:rPr>
          <w:rFonts w:hint="eastAsia" w:ascii="宋体" w:hAnsi="宋体" w:eastAsia="宋体" w:cs="宋体"/>
          <w:color w:val="FF0000"/>
          <w:kern w:val="0"/>
          <w:sz w:val="28"/>
          <w:szCs w:val="28"/>
          <w:lang w:val="en-US" w:eastAsia="zh-CN" w:bidi="ar-SA"/>
        </w:rPr>
        <w:t>一次性支付全款</w:t>
      </w:r>
      <w:r>
        <w:rPr>
          <w:rFonts w:hint="eastAsia" w:ascii="宋体" w:hAnsi="宋体" w:eastAsia="宋体" w:cs="宋体"/>
          <w:color w:val="auto"/>
          <w:kern w:val="0"/>
          <w:sz w:val="28"/>
          <w:szCs w:val="28"/>
          <w:lang w:val="en-US" w:eastAsia="zh-CN" w:bidi="ar-SA"/>
        </w:rPr>
        <w:t>服务费用。乙方指定收款账户为：</w:t>
      </w:r>
    </w:p>
    <w:p w14:paraId="5A15CB4C">
      <w:pPr>
        <w:pStyle w:val="5"/>
        <w:keepNext w:val="0"/>
        <w:keepLines w:val="0"/>
        <w:pageBreakBefore w:val="0"/>
        <w:widowControl w:val="0"/>
        <w:kinsoku/>
        <w:wordWrap/>
        <w:overflowPunct/>
        <w:topLinePunct w:val="0"/>
        <w:bidi w:val="0"/>
        <w:snapToGrid/>
        <w:spacing w:line="460" w:lineRule="exact"/>
        <w:ind w:firstLine="560"/>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账户名：</w:t>
      </w:r>
      <w:r>
        <w:rPr>
          <w:rFonts w:hint="eastAsia" w:ascii="宋体" w:hAnsi="宋体" w:eastAsia="宋体" w:cs="宋体"/>
          <w:color w:val="auto"/>
          <w:kern w:val="0"/>
          <w:sz w:val="28"/>
          <w:szCs w:val="28"/>
          <w:u w:val="single"/>
          <w:lang w:val="en-US" w:eastAsia="zh-CN" w:bidi="ar-SA"/>
        </w:rPr>
        <w:t>卫宁健康科技集团股份有限公司</w:t>
      </w:r>
      <w:r>
        <w:rPr>
          <w:rFonts w:hint="eastAsia" w:ascii="宋体" w:hAnsi="宋体" w:eastAsia="宋体" w:cs="宋体"/>
          <w:color w:val="auto"/>
          <w:kern w:val="0"/>
          <w:sz w:val="28"/>
          <w:szCs w:val="28"/>
          <w:lang w:val="en-US" w:eastAsia="zh-CN" w:bidi="ar-SA"/>
        </w:rPr>
        <w:t xml:space="preserve">                     </w:t>
      </w:r>
    </w:p>
    <w:p w14:paraId="4645CCF6">
      <w:pPr>
        <w:pStyle w:val="5"/>
        <w:keepNext w:val="0"/>
        <w:keepLines w:val="0"/>
        <w:pageBreakBefore w:val="0"/>
        <w:widowControl w:val="0"/>
        <w:kinsoku/>
        <w:wordWrap/>
        <w:overflowPunct/>
        <w:topLinePunct w:val="0"/>
        <w:bidi w:val="0"/>
        <w:snapToGrid/>
        <w:spacing w:line="460" w:lineRule="exact"/>
        <w:ind w:firstLine="560"/>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开户银行：</w:t>
      </w:r>
      <w:r>
        <w:rPr>
          <w:rFonts w:hint="eastAsia" w:ascii="宋体" w:hAnsi="宋体" w:eastAsia="宋体" w:cs="宋体"/>
          <w:color w:val="auto"/>
          <w:kern w:val="0"/>
          <w:sz w:val="28"/>
          <w:szCs w:val="28"/>
          <w:u w:val="single"/>
          <w:lang w:val="en-US" w:eastAsia="zh-CN" w:bidi="ar-SA"/>
        </w:rPr>
        <w:t>交通银行上海分行共和新路支行</w:t>
      </w:r>
      <w:r>
        <w:rPr>
          <w:rFonts w:hint="eastAsia" w:ascii="宋体" w:hAnsi="宋体" w:eastAsia="宋体" w:cs="宋体"/>
          <w:color w:val="auto"/>
          <w:kern w:val="0"/>
          <w:sz w:val="28"/>
          <w:szCs w:val="28"/>
          <w:lang w:val="en-US" w:eastAsia="zh-CN" w:bidi="ar-SA"/>
        </w:rPr>
        <w:t xml:space="preserve">                     </w:t>
      </w:r>
    </w:p>
    <w:p w14:paraId="2060FB5D">
      <w:pPr>
        <w:pStyle w:val="5"/>
        <w:keepNext w:val="0"/>
        <w:keepLines w:val="0"/>
        <w:pageBreakBefore w:val="0"/>
        <w:widowControl w:val="0"/>
        <w:kinsoku/>
        <w:wordWrap/>
        <w:overflowPunct/>
        <w:topLinePunct w:val="0"/>
        <w:bidi w:val="0"/>
        <w:snapToGrid/>
        <w:spacing w:line="460" w:lineRule="exact"/>
        <w:ind w:firstLine="560"/>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账号：</w:t>
      </w:r>
      <w:r>
        <w:rPr>
          <w:rFonts w:hint="eastAsia" w:ascii="宋体" w:hAnsi="宋体" w:eastAsia="宋体" w:cs="宋体"/>
          <w:color w:val="auto"/>
          <w:kern w:val="0"/>
          <w:sz w:val="28"/>
          <w:szCs w:val="28"/>
          <w:u w:val="single"/>
          <w:lang w:val="en-US" w:eastAsia="zh-CN" w:bidi="ar-SA"/>
        </w:rPr>
        <w:t xml:space="preserve">310066221018010028951 </w:t>
      </w:r>
      <w:r>
        <w:rPr>
          <w:rFonts w:hint="eastAsia" w:ascii="宋体" w:hAnsi="宋体" w:eastAsia="宋体" w:cs="宋体"/>
          <w:color w:val="auto"/>
          <w:kern w:val="0"/>
          <w:sz w:val="28"/>
          <w:szCs w:val="28"/>
          <w:lang w:val="en-US" w:eastAsia="zh-CN" w:bidi="ar-SA"/>
        </w:rPr>
        <w:t xml:space="preserve">  </w:t>
      </w:r>
    </w:p>
    <w:p w14:paraId="06CEA8EC">
      <w:pPr>
        <w:pStyle w:val="5"/>
        <w:keepNext w:val="0"/>
        <w:keepLines w:val="0"/>
        <w:pageBreakBefore w:val="0"/>
        <w:widowControl w:val="0"/>
        <w:kinsoku/>
        <w:wordWrap/>
        <w:overflowPunct/>
        <w:topLinePunct w:val="0"/>
        <w:bidi w:val="0"/>
        <w:snapToGrid/>
        <w:spacing w:line="460" w:lineRule="exact"/>
        <w:ind w:firstLine="560"/>
        <w:jc w:val="both"/>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7.3 乙方应在甲方</w:t>
      </w:r>
      <w:r>
        <w:rPr>
          <w:rFonts w:hint="eastAsia" w:ascii="宋体" w:hAnsi="宋体" w:eastAsia="宋体" w:cs="宋体"/>
          <w:color w:val="FF0000"/>
          <w:kern w:val="0"/>
          <w:sz w:val="28"/>
          <w:szCs w:val="28"/>
          <w:lang w:val="en-US" w:eastAsia="zh-CN" w:bidi="ar-SA"/>
        </w:rPr>
        <w:t>支付</w:t>
      </w:r>
      <w:r>
        <w:rPr>
          <w:rFonts w:hint="eastAsia" w:ascii="宋体" w:hAnsi="宋体" w:eastAsia="宋体" w:cs="宋体"/>
          <w:color w:val="auto"/>
          <w:kern w:val="0"/>
          <w:sz w:val="28"/>
          <w:szCs w:val="28"/>
          <w:lang w:val="en-US" w:eastAsia="zh-CN" w:bidi="ar-SA"/>
        </w:rPr>
        <w:t xml:space="preserve">前提供以乙方名义开具的全额增值税普通发票，如未提供，甲方有权顺延付款，由此产生的全部责任均由乙方承担。 </w:t>
      </w:r>
    </w:p>
    <w:p w14:paraId="5E11D3B5">
      <w:pPr>
        <w:pStyle w:val="5"/>
        <w:keepNext w:val="0"/>
        <w:keepLines w:val="0"/>
        <w:pageBreakBefore w:val="0"/>
        <w:widowControl w:val="0"/>
        <w:kinsoku/>
        <w:wordWrap/>
        <w:overflowPunct/>
        <w:topLinePunct w:val="0"/>
        <w:bidi w:val="0"/>
        <w:snapToGrid/>
        <w:spacing w:line="460" w:lineRule="exact"/>
        <w:ind w:firstLine="560"/>
        <w:jc w:val="both"/>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b/>
          <w:bCs/>
          <w:color w:val="auto"/>
          <w:kern w:val="0"/>
          <w:sz w:val="28"/>
          <w:szCs w:val="28"/>
          <w:lang w:val="en-US" w:eastAsia="zh-CN" w:bidi="ar-SA"/>
        </w:rPr>
        <w:t>第八条 项目联系人及联系方式</w:t>
      </w:r>
    </w:p>
    <w:p w14:paraId="29AAD891">
      <w:pPr>
        <w:pStyle w:val="5"/>
        <w:keepNext w:val="0"/>
        <w:keepLines w:val="0"/>
        <w:pageBreakBefore w:val="0"/>
        <w:widowControl w:val="0"/>
        <w:kinsoku/>
        <w:wordWrap/>
        <w:overflowPunct/>
        <w:topLinePunct w:val="0"/>
        <w:bidi w:val="0"/>
        <w:snapToGrid/>
        <w:spacing w:line="460" w:lineRule="exact"/>
        <w:ind w:firstLine="560"/>
        <w:jc w:val="both"/>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8.1 双方确定，在本合同有效期内，甲方指定</w:t>
      </w:r>
      <w:r>
        <w:rPr>
          <w:rFonts w:hint="eastAsia" w:ascii="宋体" w:hAnsi="宋体" w:eastAsia="宋体" w:cs="宋体"/>
          <w:color w:val="auto"/>
          <w:kern w:val="0"/>
          <w:sz w:val="28"/>
          <w:szCs w:val="28"/>
          <w:u w:val="single"/>
          <w:lang w:val="en-US" w:eastAsia="zh-CN" w:bidi="ar-SA"/>
        </w:rPr>
        <w:t>胡晟娅</w:t>
      </w:r>
      <w:r>
        <w:rPr>
          <w:rFonts w:hint="eastAsia" w:ascii="宋体" w:hAnsi="宋体" w:eastAsia="宋体" w:cs="宋体"/>
          <w:color w:val="auto"/>
          <w:kern w:val="0"/>
          <w:sz w:val="28"/>
          <w:szCs w:val="28"/>
          <w:lang w:val="en-US" w:eastAsia="zh-CN" w:bidi="ar-SA"/>
        </w:rPr>
        <w:t xml:space="preserve">（联系电话： </w:t>
      </w:r>
      <w:r>
        <w:rPr>
          <w:rFonts w:hint="eastAsia" w:ascii="宋体" w:hAnsi="宋体" w:eastAsia="宋体" w:cs="宋体"/>
          <w:color w:val="auto"/>
          <w:kern w:val="0"/>
          <w:sz w:val="28"/>
          <w:szCs w:val="28"/>
          <w:highlight w:val="none"/>
          <w:u w:val="single"/>
          <w:lang w:val="en-US" w:eastAsia="zh-CN" w:bidi="ar-SA"/>
        </w:rPr>
        <w:t xml:space="preserve">13973818325 </w:t>
      </w:r>
      <w:r>
        <w:rPr>
          <w:rFonts w:hint="eastAsia" w:ascii="宋体" w:hAnsi="宋体" w:eastAsia="宋体" w:cs="宋体"/>
          <w:color w:val="auto"/>
          <w:kern w:val="0"/>
          <w:sz w:val="28"/>
          <w:szCs w:val="28"/>
          <w:lang w:val="en-US" w:eastAsia="zh-CN" w:bidi="ar-SA"/>
        </w:rPr>
        <w:t>）为甲方项目联系人，乙方指定</w:t>
      </w:r>
      <w:r>
        <w:rPr>
          <w:rFonts w:hint="eastAsia" w:ascii="宋体" w:hAnsi="宋体" w:eastAsia="宋体" w:cs="宋体"/>
          <w:color w:val="auto"/>
          <w:kern w:val="0"/>
          <w:sz w:val="28"/>
          <w:szCs w:val="28"/>
          <w:u w:val="single"/>
          <w:lang w:val="en-US" w:eastAsia="zh-CN" w:bidi="ar-SA"/>
        </w:rPr>
        <w:t xml:space="preserve"> 王旷</w:t>
      </w:r>
      <w:r>
        <w:rPr>
          <w:rFonts w:hint="eastAsia" w:ascii="宋体" w:hAnsi="宋体" w:eastAsia="宋体" w:cs="宋体"/>
          <w:color w:val="auto"/>
          <w:kern w:val="0"/>
          <w:sz w:val="28"/>
          <w:szCs w:val="28"/>
          <w:lang w:val="en-US" w:eastAsia="zh-CN" w:bidi="ar-SA"/>
        </w:rPr>
        <w:t>（联系电话：</w:t>
      </w:r>
      <w:r>
        <w:rPr>
          <w:rFonts w:hint="eastAsia" w:ascii="宋体" w:hAnsi="宋体" w:eastAsia="宋体" w:cs="宋体"/>
          <w:color w:val="auto"/>
          <w:kern w:val="0"/>
          <w:sz w:val="28"/>
          <w:szCs w:val="28"/>
          <w:highlight w:val="none"/>
          <w:u w:val="single"/>
          <w:lang w:val="en-US" w:eastAsia="zh-CN" w:bidi="ar-SA"/>
        </w:rPr>
        <w:t xml:space="preserve"> 13142186535 </w:t>
      </w:r>
      <w:r>
        <w:rPr>
          <w:rFonts w:hint="eastAsia" w:ascii="宋体" w:hAnsi="宋体" w:eastAsia="宋体" w:cs="宋体"/>
          <w:color w:val="auto"/>
          <w:kern w:val="0"/>
          <w:sz w:val="28"/>
          <w:szCs w:val="28"/>
          <w:lang w:val="en-US" w:eastAsia="zh-CN" w:bidi="ar-SA"/>
        </w:rPr>
        <w:t>）为乙方项目联系人。</w:t>
      </w:r>
    </w:p>
    <w:p w14:paraId="3E17FC6D">
      <w:pPr>
        <w:pStyle w:val="5"/>
        <w:keepNext w:val="0"/>
        <w:keepLines w:val="0"/>
        <w:pageBreakBefore w:val="0"/>
        <w:widowControl w:val="0"/>
        <w:kinsoku/>
        <w:wordWrap/>
        <w:overflowPunct/>
        <w:topLinePunct w:val="0"/>
        <w:bidi w:val="0"/>
        <w:snapToGrid/>
        <w:spacing w:line="460" w:lineRule="exact"/>
        <w:ind w:firstLine="560"/>
        <w:jc w:val="both"/>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8.2 一方变更项目联系人的，应当及时以书面形式通知另一方，未及时通知并影响本合同履行或造成损失的，应承担相应的责任。</w:t>
      </w:r>
    </w:p>
    <w:p w14:paraId="1B9A1CE9">
      <w:pPr>
        <w:pStyle w:val="5"/>
        <w:keepNext w:val="0"/>
        <w:keepLines w:val="0"/>
        <w:pageBreakBefore w:val="0"/>
        <w:widowControl w:val="0"/>
        <w:kinsoku/>
        <w:wordWrap/>
        <w:overflowPunct/>
        <w:topLinePunct w:val="0"/>
        <w:bidi w:val="0"/>
        <w:snapToGrid/>
        <w:spacing w:line="460" w:lineRule="exact"/>
        <w:ind w:firstLine="560"/>
        <w:jc w:val="both"/>
        <w:textAlignment w:val="auto"/>
        <w:rPr>
          <w:rFonts w:hint="eastAsia" w:ascii="宋体" w:hAnsi="宋体" w:eastAsia="宋体" w:cs="宋体"/>
          <w:b/>
          <w:bCs/>
          <w:color w:val="auto"/>
          <w:kern w:val="0"/>
          <w:sz w:val="28"/>
          <w:szCs w:val="28"/>
          <w:lang w:val="en-US" w:eastAsia="zh-CN" w:bidi="ar-SA"/>
        </w:rPr>
      </w:pPr>
      <w:r>
        <w:rPr>
          <w:rFonts w:hint="eastAsia" w:ascii="宋体" w:hAnsi="宋体" w:eastAsia="宋体" w:cs="宋体"/>
          <w:b/>
          <w:bCs/>
          <w:color w:val="auto"/>
          <w:kern w:val="0"/>
          <w:sz w:val="28"/>
          <w:szCs w:val="28"/>
          <w:lang w:val="en-US" w:eastAsia="zh-CN" w:bidi="ar-SA"/>
        </w:rPr>
        <w:t>第九条 通知与送达</w:t>
      </w:r>
    </w:p>
    <w:p w14:paraId="170A9600">
      <w:pPr>
        <w:pStyle w:val="5"/>
        <w:keepNext w:val="0"/>
        <w:keepLines w:val="0"/>
        <w:pageBreakBefore w:val="0"/>
        <w:widowControl w:val="0"/>
        <w:kinsoku/>
        <w:wordWrap/>
        <w:overflowPunct/>
        <w:topLinePunct w:val="0"/>
        <w:bidi w:val="0"/>
        <w:snapToGrid/>
        <w:spacing w:line="460" w:lineRule="exact"/>
        <w:ind w:firstLine="560"/>
        <w:jc w:val="both"/>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9.1 甲乙双方同意，与本合同有关的任何文书，应以书面方式送达本合同约定的联系方式。书面形式包括手机短信、微信、书面函件、电子邮件等形式。</w:t>
      </w:r>
    </w:p>
    <w:p w14:paraId="7FE768C4">
      <w:pPr>
        <w:pStyle w:val="5"/>
        <w:keepNext w:val="0"/>
        <w:keepLines w:val="0"/>
        <w:pageBreakBefore w:val="0"/>
        <w:widowControl w:val="0"/>
        <w:kinsoku/>
        <w:wordWrap/>
        <w:overflowPunct/>
        <w:topLinePunct w:val="0"/>
        <w:bidi w:val="0"/>
        <w:snapToGrid/>
        <w:spacing w:line="460" w:lineRule="exact"/>
        <w:ind w:firstLine="560"/>
        <w:jc w:val="both"/>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9.2 双方确认的文书（包括未来可能发生的诉讼或仲裁活动中法院或仲裁机构的送达法律文书）送达地址：</w:t>
      </w:r>
    </w:p>
    <w:p w14:paraId="54D28C16">
      <w:pPr>
        <w:pStyle w:val="5"/>
        <w:keepNext w:val="0"/>
        <w:keepLines w:val="0"/>
        <w:pageBreakBefore w:val="0"/>
        <w:widowControl w:val="0"/>
        <w:kinsoku/>
        <w:wordWrap/>
        <w:overflowPunct/>
        <w:topLinePunct w:val="0"/>
        <w:bidi w:val="0"/>
        <w:snapToGrid/>
        <w:spacing w:line="460" w:lineRule="exact"/>
        <w:ind w:firstLine="560"/>
        <w:jc w:val="both"/>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9.2.1 甲方的文书送达地址：</w:t>
      </w:r>
      <w:r>
        <w:rPr>
          <w:rFonts w:hint="eastAsia" w:ascii="宋体" w:hAnsi="宋体" w:eastAsia="宋体" w:cs="宋体"/>
          <w:color w:val="auto"/>
          <w:kern w:val="0"/>
          <w:sz w:val="28"/>
          <w:szCs w:val="28"/>
          <w:u w:val="single"/>
          <w:lang w:val="en-US" w:eastAsia="zh-CN" w:bidi="ar-SA"/>
        </w:rPr>
        <w:t>湖南省娄底市娄星区长青街51号</w:t>
      </w:r>
      <w:r>
        <w:rPr>
          <w:rFonts w:hint="eastAsia" w:ascii="宋体" w:hAnsi="宋体" w:eastAsia="宋体" w:cs="宋体"/>
          <w:color w:val="auto"/>
          <w:kern w:val="0"/>
          <w:sz w:val="28"/>
          <w:szCs w:val="28"/>
          <w:lang w:val="en-US" w:eastAsia="zh-CN" w:bidi="ar-SA"/>
        </w:rPr>
        <w:t>，收件人：</w:t>
      </w:r>
      <w:r>
        <w:rPr>
          <w:rFonts w:hint="eastAsia" w:ascii="宋体" w:hAnsi="宋体" w:eastAsia="宋体" w:cs="宋体"/>
          <w:color w:val="auto"/>
          <w:kern w:val="0"/>
          <w:sz w:val="28"/>
          <w:szCs w:val="28"/>
          <w:u w:val="single"/>
          <w:lang w:val="en-US" w:eastAsia="zh-CN" w:bidi="ar-SA"/>
        </w:rPr>
        <w:t>胡晟娅</w:t>
      </w:r>
      <w:r>
        <w:rPr>
          <w:rFonts w:hint="eastAsia" w:ascii="宋体" w:hAnsi="宋体" w:eastAsia="宋体" w:cs="宋体"/>
          <w:color w:val="auto"/>
          <w:kern w:val="0"/>
          <w:sz w:val="28"/>
          <w:szCs w:val="28"/>
          <w:lang w:val="en-US" w:eastAsia="zh-CN" w:bidi="ar-SA"/>
        </w:rPr>
        <w:t>，联系电话：</w:t>
      </w:r>
      <w:r>
        <w:rPr>
          <w:rFonts w:hint="eastAsia" w:ascii="宋体" w:hAnsi="宋体" w:eastAsia="宋体" w:cs="宋体"/>
          <w:color w:val="auto"/>
          <w:kern w:val="0"/>
          <w:sz w:val="28"/>
          <w:szCs w:val="28"/>
          <w:u w:val="single"/>
          <w:lang w:val="en-US" w:eastAsia="zh-CN" w:bidi="ar-SA"/>
        </w:rPr>
        <w:t xml:space="preserve">13973818325 </w:t>
      </w:r>
      <w:r>
        <w:rPr>
          <w:rFonts w:hint="eastAsia" w:ascii="宋体" w:hAnsi="宋体" w:eastAsia="宋体" w:cs="宋体"/>
          <w:color w:val="auto"/>
          <w:kern w:val="0"/>
          <w:sz w:val="28"/>
          <w:szCs w:val="28"/>
          <w:lang w:val="en-US" w:eastAsia="zh-CN" w:bidi="ar-SA"/>
        </w:rPr>
        <w:t>，电子邮箱：</w:t>
      </w:r>
      <w:r>
        <w:rPr>
          <w:rFonts w:hint="eastAsia" w:ascii="宋体" w:hAnsi="宋体" w:eastAsia="宋体" w:cs="宋体"/>
          <w:color w:val="auto"/>
          <w:kern w:val="0"/>
          <w:sz w:val="28"/>
          <w:szCs w:val="28"/>
          <w:u w:val="single"/>
          <w:lang w:val="en-US" w:eastAsia="zh-CN" w:bidi="ar-SA"/>
        </w:rPr>
        <w:t>7591521@qq.com</w:t>
      </w:r>
      <w:r>
        <w:rPr>
          <w:rFonts w:hint="eastAsia" w:ascii="宋体" w:hAnsi="宋体" w:eastAsia="宋体" w:cs="宋体"/>
          <w:color w:val="auto"/>
          <w:kern w:val="0"/>
          <w:sz w:val="28"/>
          <w:szCs w:val="28"/>
          <w:lang w:val="en-US" w:eastAsia="zh-CN" w:bidi="ar-SA"/>
        </w:rPr>
        <w:t>。</w:t>
      </w:r>
    </w:p>
    <w:p w14:paraId="0272E37B">
      <w:pPr>
        <w:pStyle w:val="5"/>
        <w:keepNext w:val="0"/>
        <w:keepLines w:val="0"/>
        <w:pageBreakBefore w:val="0"/>
        <w:widowControl w:val="0"/>
        <w:kinsoku/>
        <w:wordWrap/>
        <w:overflowPunct/>
        <w:topLinePunct w:val="0"/>
        <w:bidi w:val="0"/>
        <w:snapToGrid/>
        <w:spacing w:line="460" w:lineRule="exact"/>
        <w:ind w:firstLine="560"/>
        <w:jc w:val="both"/>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9.2.2 乙方的文书送达地址：</w:t>
      </w:r>
      <w:r>
        <w:rPr>
          <w:rFonts w:hint="eastAsia" w:ascii="宋体" w:hAnsi="宋体" w:eastAsia="宋体" w:cs="宋体"/>
          <w:color w:val="auto"/>
          <w:kern w:val="0"/>
          <w:sz w:val="28"/>
          <w:szCs w:val="28"/>
          <w:u w:val="single"/>
          <w:lang w:val="en-US" w:eastAsia="zh-CN" w:bidi="ar-SA"/>
        </w:rPr>
        <w:t xml:space="preserve"> 湖南省长沙市岳麓区麓谷信息港B栋19002-01号房</w:t>
      </w:r>
      <w:r>
        <w:rPr>
          <w:rFonts w:hint="eastAsia" w:ascii="宋体" w:hAnsi="宋体" w:eastAsia="宋体" w:cs="宋体"/>
          <w:color w:val="auto"/>
          <w:kern w:val="0"/>
          <w:sz w:val="28"/>
          <w:szCs w:val="28"/>
          <w:lang w:val="en-US" w:eastAsia="zh-CN" w:bidi="ar-SA"/>
        </w:rPr>
        <w:t>，收件人：</w:t>
      </w:r>
      <w:r>
        <w:rPr>
          <w:rFonts w:hint="eastAsia" w:ascii="宋体" w:hAnsi="宋体" w:eastAsia="宋体" w:cs="宋体"/>
          <w:color w:val="auto"/>
          <w:kern w:val="0"/>
          <w:sz w:val="28"/>
          <w:szCs w:val="28"/>
          <w:u w:val="single"/>
          <w:lang w:val="en-US" w:eastAsia="zh-CN" w:bidi="ar-SA"/>
        </w:rPr>
        <w:t>黄凯军</w:t>
      </w:r>
      <w:r>
        <w:rPr>
          <w:rFonts w:hint="eastAsia" w:ascii="宋体" w:hAnsi="宋体" w:eastAsia="宋体" w:cs="宋体"/>
          <w:color w:val="auto"/>
          <w:kern w:val="0"/>
          <w:sz w:val="28"/>
          <w:szCs w:val="28"/>
          <w:lang w:val="en-US" w:eastAsia="zh-CN" w:bidi="ar-SA"/>
        </w:rPr>
        <w:t>，联系电话：</w:t>
      </w:r>
      <w:r>
        <w:rPr>
          <w:rFonts w:hint="eastAsia" w:ascii="宋体" w:hAnsi="宋体" w:eastAsia="宋体" w:cs="宋体"/>
          <w:color w:val="auto"/>
          <w:kern w:val="0"/>
          <w:sz w:val="28"/>
          <w:szCs w:val="28"/>
          <w:u w:val="single"/>
          <w:lang w:val="en-US" w:eastAsia="zh-CN" w:bidi="ar-SA"/>
        </w:rPr>
        <w:t xml:space="preserve"> 13808484690</w:t>
      </w:r>
      <w:r>
        <w:rPr>
          <w:rFonts w:hint="eastAsia" w:ascii="宋体" w:hAnsi="宋体" w:eastAsia="宋体" w:cs="宋体"/>
          <w:color w:val="auto"/>
          <w:kern w:val="0"/>
          <w:sz w:val="28"/>
          <w:szCs w:val="28"/>
          <w:lang w:val="en-US" w:eastAsia="zh-CN" w:bidi="ar-SA"/>
        </w:rPr>
        <w:t>，电子邮箱：</w:t>
      </w:r>
      <w:r>
        <w:rPr>
          <w:rFonts w:hint="eastAsia" w:ascii="宋体" w:hAnsi="宋体" w:eastAsia="宋体" w:cs="宋体"/>
          <w:color w:val="auto"/>
          <w:kern w:val="0"/>
          <w:sz w:val="28"/>
          <w:szCs w:val="28"/>
          <w:u w:val="single"/>
          <w:lang w:val="en-US" w:eastAsia="zh-CN" w:bidi="ar-SA"/>
        </w:rPr>
        <w:t xml:space="preserve">hkj@winning.com.cn </w:t>
      </w:r>
      <w:r>
        <w:rPr>
          <w:rFonts w:hint="eastAsia" w:ascii="宋体" w:hAnsi="宋体" w:eastAsia="宋体" w:cs="宋体"/>
          <w:color w:val="auto"/>
          <w:kern w:val="0"/>
          <w:sz w:val="28"/>
          <w:szCs w:val="28"/>
          <w:lang w:val="en-US" w:eastAsia="zh-CN" w:bidi="ar-SA"/>
        </w:rPr>
        <w:t>。</w:t>
      </w:r>
    </w:p>
    <w:p w14:paraId="7CF8E789">
      <w:pPr>
        <w:pStyle w:val="5"/>
        <w:keepNext w:val="0"/>
        <w:keepLines w:val="0"/>
        <w:pageBreakBefore w:val="0"/>
        <w:widowControl w:val="0"/>
        <w:kinsoku/>
        <w:wordWrap/>
        <w:overflowPunct/>
        <w:topLinePunct w:val="0"/>
        <w:bidi w:val="0"/>
        <w:snapToGrid/>
        <w:spacing w:line="460" w:lineRule="exact"/>
        <w:ind w:firstLine="560"/>
        <w:jc w:val="both"/>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9.3 上述通知应被视为在下列时间送达：以快递或专人发送的，在收件人签收之日或拒收之日；以挂号邮件发出的，在发出之日起7个工作日；以电子邮件发出的，在电子邮件进入收件方电子邮箱服务器之日。</w:t>
      </w:r>
    </w:p>
    <w:p w14:paraId="764A7169">
      <w:pPr>
        <w:pStyle w:val="5"/>
        <w:keepNext w:val="0"/>
        <w:keepLines w:val="0"/>
        <w:pageBreakBefore w:val="0"/>
        <w:widowControl w:val="0"/>
        <w:kinsoku/>
        <w:wordWrap/>
        <w:overflowPunct/>
        <w:topLinePunct w:val="0"/>
        <w:bidi w:val="0"/>
        <w:snapToGrid/>
        <w:spacing w:line="460" w:lineRule="exact"/>
        <w:ind w:firstLine="560"/>
        <w:jc w:val="both"/>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 xml:space="preserve">9.4 以上地址和联系方式，任何一方发生变更应在变更之日起3个日历日内通知对方。如未通知，一方按原地址送达的书面资料被退回的，退回之日视为送达之日。任何一方按照确认地址送到另一方的书面资料被拒绝签收导致邮件被退回的，退回之日视为送达之日。  </w:t>
      </w:r>
    </w:p>
    <w:p w14:paraId="13165C4F">
      <w:pPr>
        <w:pStyle w:val="5"/>
        <w:keepNext w:val="0"/>
        <w:keepLines w:val="0"/>
        <w:pageBreakBefore w:val="0"/>
        <w:widowControl w:val="0"/>
        <w:kinsoku/>
        <w:wordWrap/>
        <w:overflowPunct/>
        <w:topLinePunct w:val="0"/>
        <w:bidi w:val="0"/>
        <w:snapToGrid/>
        <w:spacing w:line="460" w:lineRule="exact"/>
        <w:ind w:firstLine="560"/>
        <w:jc w:val="both"/>
        <w:textAlignment w:val="auto"/>
        <w:rPr>
          <w:rFonts w:hint="eastAsia" w:ascii="宋体" w:hAnsi="宋体" w:eastAsia="宋体" w:cs="宋体"/>
          <w:b/>
          <w:bCs/>
          <w:color w:val="auto"/>
          <w:kern w:val="0"/>
          <w:sz w:val="28"/>
          <w:szCs w:val="28"/>
          <w:lang w:val="en-US" w:eastAsia="zh-CN" w:bidi="ar-SA"/>
        </w:rPr>
      </w:pPr>
      <w:r>
        <w:rPr>
          <w:rFonts w:hint="eastAsia" w:ascii="宋体" w:hAnsi="宋体" w:eastAsia="宋体" w:cs="宋体"/>
          <w:b/>
          <w:bCs/>
          <w:color w:val="auto"/>
          <w:kern w:val="0"/>
          <w:sz w:val="28"/>
          <w:szCs w:val="28"/>
          <w:lang w:val="en-US" w:eastAsia="zh-CN" w:bidi="ar-SA"/>
        </w:rPr>
        <w:t>第十条 合同的变更和解除</w:t>
      </w:r>
    </w:p>
    <w:p w14:paraId="6E04CD87">
      <w:pPr>
        <w:pStyle w:val="5"/>
        <w:keepNext w:val="0"/>
        <w:keepLines w:val="0"/>
        <w:pageBreakBefore w:val="0"/>
        <w:widowControl w:val="0"/>
        <w:kinsoku/>
        <w:wordWrap/>
        <w:overflowPunct/>
        <w:topLinePunct w:val="0"/>
        <w:bidi w:val="0"/>
        <w:snapToGrid/>
        <w:spacing w:line="460" w:lineRule="exact"/>
        <w:ind w:firstLine="560"/>
        <w:jc w:val="both"/>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10.1 如本合同约定事宜发生重大变更，经双方协商一致后另行签订补充协议。</w:t>
      </w:r>
    </w:p>
    <w:p w14:paraId="1260086B">
      <w:pPr>
        <w:pStyle w:val="5"/>
        <w:keepNext w:val="0"/>
        <w:keepLines w:val="0"/>
        <w:pageBreakBefore w:val="0"/>
        <w:widowControl w:val="0"/>
        <w:kinsoku/>
        <w:wordWrap/>
        <w:overflowPunct/>
        <w:topLinePunct w:val="0"/>
        <w:bidi w:val="0"/>
        <w:snapToGrid/>
        <w:spacing w:line="460" w:lineRule="exact"/>
        <w:ind w:firstLine="560"/>
        <w:jc w:val="both"/>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10.2 出现以下情形之一的，甲方有权单方面解除合同：</w:t>
      </w:r>
    </w:p>
    <w:p w14:paraId="52608B74">
      <w:pPr>
        <w:pStyle w:val="5"/>
        <w:keepNext w:val="0"/>
        <w:keepLines w:val="0"/>
        <w:pageBreakBefore w:val="0"/>
        <w:widowControl w:val="0"/>
        <w:kinsoku/>
        <w:wordWrap/>
        <w:overflowPunct/>
        <w:topLinePunct w:val="0"/>
        <w:bidi w:val="0"/>
        <w:snapToGrid/>
        <w:spacing w:line="460" w:lineRule="exact"/>
        <w:ind w:firstLine="560"/>
        <w:jc w:val="both"/>
        <w:textAlignment w:val="auto"/>
        <w:rPr>
          <w:rFonts w:hint="default"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10.2.1 乙方逾期7日仍未完成接口服务并通过验收的；</w:t>
      </w:r>
    </w:p>
    <w:p w14:paraId="1DC919C5">
      <w:pPr>
        <w:pStyle w:val="5"/>
        <w:keepNext w:val="0"/>
        <w:keepLines w:val="0"/>
        <w:pageBreakBefore w:val="0"/>
        <w:widowControl w:val="0"/>
        <w:kinsoku/>
        <w:wordWrap/>
        <w:overflowPunct/>
        <w:topLinePunct w:val="0"/>
        <w:bidi w:val="0"/>
        <w:snapToGrid/>
        <w:spacing w:line="460" w:lineRule="exact"/>
        <w:ind w:firstLine="560"/>
        <w:jc w:val="both"/>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 xml:space="preserve">10.2.2 乙方服务首次未通过验收，返工后仍不能通过验收的；                                                                                                                                                                                                                                                                                                                                                                                                                                                                                                                                                                                                                                                                                                                                                                                                                                                                                                                                                                                                                                                                                                                                                                                                                                                                                                                                                                                                                                                                                                                                                                                                                                                                                                                                                                                                                                                                                                                                                                                                                                                                                                                                                                                                                                                                                                                                                                                                                                                                                                                                                                                                 </w:t>
      </w:r>
    </w:p>
    <w:p w14:paraId="2C55DCEE">
      <w:pPr>
        <w:pStyle w:val="5"/>
        <w:keepNext w:val="0"/>
        <w:keepLines w:val="0"/>
        <w:pageBreakBefore w:val="0"/>
        <w:widowControl w:val="0"/>
        <w:kinsoku/>
        <w:wordWrap/>
        <w:overflowPunct/>
        <w:topLinePunct w:val="0"/>
        <w:bidi w:val="0"/>
        <w:snapToGrid/>
        <w:spacing w:line="460" w:lineRule="exact"/>
        <w:ind w:firstLine="560"/>
        <w:jc w:val="both"/>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10.2.3 乙方将项下服务工作转包或分包给第三方的；</w:t>
      </w:r>
    </w:p>
    <w:p w14:paraId="10ABB633">
      <w:pPr>
        <w:pStyle w:val="5"/>
        <w:keepNext w:val="0"/>
        <w:keepLines w:val="0"/>
        <w:pageBreakBefore w:val="0"/>
        <w:widowControl w:val="0"/>
        <w:kinsoku/>
        <w:wordWrap/>
        <w:overflowPunct/>
        <w:topLinePunct w:val="0"/>
        <w:bidi w:val="0"/>
        <w:snapToGrid/>
        <w:spacing w:line="460" w:lineRule="exact"/>
        <w:ind w:firstLine="560"/>
        <w:jc w:val="both"/>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10.2.4 乙方违反保密条款或侵犯第三人的著作权及其它合法权利，给甲方造成损失或不良影响的；</w:t>
      </w:r>
    </w:p>
    <w:p w14:paraId="536B2F96">
      <w:pPr>
        <w:pStyle w:val="5"/>
        <w:keepNext w:val="0"/>
        <w:keepLines w:val="0"/>
        <w:pageBreakBefore w:val="0"/>
        <w:widowControl w:val="0"/>
        <w:kinsoku/>
        <w:wordWrap/>
        <w:overflowPunct/>
        <w:topLinePunct w:val="0"/>
        <w:bidi w:val="0"/>
        <w:snapToGrid/>
        <w:spacing w:line="460" w:lineRule="exact"/>
        <w:ind w:firstLine="560"/>
        <w:jc w:val="both"/>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10.2.5 乙方经甲方通知未按本合同约定提供维修维护服务累计达</w:t>
      </w:r>
    </w:p>
    <w:p w14:paraId="027D3B15">
      <w:pPr>
        <w:pStyle w:val="5"/>
        <w:keepNext w:val="0"/>
        <w:keepLines w:val="0"/>
        <w:pageBreakBefore w:val="0"/>
        <w:widowControl w:val="0"/>
        <w:kinsoku/>
        <w:wordWrap/>
        <w:overflowPunct/>
        <w:topLinePunct w:val="0"/>
        <w:bidi w:val="0"/>
        <w:snapToGrid/>
        <w:spacing w:line="460" w:lineRule="exact"/>
        <w:jc w:val="both"/>
        <w:textAlignment w:val="auto"/>
        <w:rPr>
          <w:rFonts w:hint="default"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u w:val="single"/>
          <w:lang w:val="en-US" w:eastAsia="zh-CN" w:bidi="ar-SA"/>
        </w:rPr>
        <w:t xml:space="preserve"> 7 </w:t>
      </w:r>
      <w:r>
        <w:rPr>
          <w:rFonts w:hint="eastAsia" w:ascii="宋体" w:hAnsi="宋体" w:eastAsia="宋体" w:cs="宋体"/>
          <w:color w:val="auto"/>
          <w:kern w:val="0"/>
          <w:sz w:val="28"/>
          <w:szCs w:val="28"/>
          <w:lang w:val="en-US" w:eastAsia="zh-CN" w:bidi="ar-SA"/>
        </w:rPr>
        <w:t>次以上的；</w:t>
      </w:r>
    </w:p>
    <w:p w14:paraId="5C52C66F">
      <w:pPr>
        <w:pStyle w:val="5"/>
        <w:keepNext w:val="0"/>
        <w:keepLines w:val="0"/>
        <w:pageBreakBefore w:val="0"/>
        <w:widowControl w:val="0"/>
        <w:kinsoku/>
        <w:wordWrap/>
        <w:overflowPunct/>
        <w:topLinePunct w:val="0"/>
        <w:bidi w:val="0"/>
        <w:snapToGrid/>
        <w:spacing w:line="460" w:lineRule="exact"/>
        <w:ind w:firstLine="560" w:firstLineChars="200"/>
        <w:jc w:val="both"/>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10.2.6 其他根本违约的情形。</w:t>
      </w:r>
    </w:p>
    <w:p w14:paraId="0EC30737">
      <w:pPr>
        <w:pStyle w:val="5"/>
        <w:keepNext w:val="0"/>
        <w:keepLines w:val="0"/>
        <w:pageBreakBefore w:val="0"/>
        <w:widowControl w:val="0"/>
        <w:kinsoku/>
        <w:wordWrap/>
        <w:overflowPunct/>
        <w:topLinePunct w:val="0"/>
        <w:bidi w:val="0"/>
        <w:snapToGrid/>
        <w:spacing w:line="460" w:lineRule="exact"/>
        <w:ind w:firstLine="560"/>
        <w:jc w:val="both"/>
        <w:textAlignment w:val="auto"/>
        <w:rPr>
          <w:rFonts w:hint="eastAsia" w:ascii="宋体" w:hAnsi="宋体" w:eastAsia="宋体" w:cs="宋体"/>
          <w:b/>
          <w:bCs/>
          <w:color w:val="auto"/>
          <w:kern w:val="0"/>
          <w:sz w:val="28"/>
          <w:szCs w:val="28"/>
          <w:lang w:val="en-US" w:eastAsia="zh-CN" w:bidi="ar-SA"/>
        </w:rPr>
      </w:pPr>
      <w:r>
        <w:rPr>
          <w:rFonts w:hint="eastAsia" w:ascii="宋体" w:hAnsi="宋体" w:eastAsia="宋体" w:cs="宋体"/>
          <w:b/>
          <w:bCs/>
          <w:color w:val="auto"/>
          <w:kern w:val="0"/>
          <w:sz w:val="28"/>
          <w:szCs w:val="28"/>
          <w:lang w:val="en-US" w:eastAsia="zh-CN" w:bidi="ar-SA"/>
        </w:rPr>
        <w:t>第十一条 违约责任</w:t>
      </w:r>
    </w:p>
    <w:p w14:paraId="7DF41B71">
      <w:pPr>
        <w:pStyle w:val="5"/>
        <w:keepNext w:val="0"/>
        <w:keepLines w:val="0"/>
        <w:pageBreakBefore w:val="0"/>
        <w:widowControl w:val="0"/>
        <w:kinsoku/>
        <w:wordWrap/>
        <w:overflowPunct/>
        <w:topLinePunct w:val="0"/>
        <w:bidi w:val="0"/>
        <w:snapToGrid/>
        <w:spacing w:line="460" w:lineRule="exact"/>
        <w:ind w:firstLine="560"/>
        <w:jc w:val="both"/>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11.1 甲方无故逾期支付费用的，每逾期一日，按本合同费用万分之一的标准向乙方支付违约金。</w:t>
      </w:r>
    </w:p>
    <w:p w14:paraId="1A73A0D0">
      <w:pPr>
        <w:pStyle w:val="5"/>
        <w:keepNext w:val="0"/>
        <w:keepLines w:val="0"/>
        <w:pageBreakBefore w:val="0"/>
        <w:widowControl w:val="0"/>
        <w:kinsoku/>
        <w:wordWrap/>
        <w:overflowPunct/>
        <w:topLinePunct w:val="0"/>
        <w:bidi w:val="0"/>
        <w:snapToGrid/>
        <w:spacing w:line="460" w:lineRule="exact"/>
        <w:ind w:firstLine="560"/>
        <w:jc w:val="both"/>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11.2 乙方逾期未完成接口服务并通过验收的，每逾期一日，按本合同费用万分之一的标准向甲方支付违约金。</w:t>
      </w:r>
    </w:p>
    <w:p w14:paraId="70EC8F52">
      <w:pPr>
        <w:pStyle w:val="5"/>
        <w:keepNext w:val="0"/>
        <w:keepLines w:val="0"/>
        <w:pageBreakBefore w:val="0"/>
        <w:widowControl w:val="0"/>
        <w:kinsoku/>
        <w:wordWrap/>
        <w:overflowPunct/>
        <w:topLinePunct w:val="0"/>
        <w:bidi w:val="0"/>
        <w:snapToGrid/>
        <w:spacing w:line="460" w:lineRule="exact"/>
        <w:ind w:firstLine="560"/>
        <w:jc w:val="both"/>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11.3 如乙方单方面解除合同，或甲方因乙方原因单方面解除合同，乙方除赔偿甲方由此造成的直接经济损失外，还须按合同总额的15%向甲方支付违约金。</w:t>
      </w:r>
    </w:p>
    <w:p w14:paraId="341C442B">
      <w:pPr>
        <w:pStyle w:val="5"/>
        <w:keepNext w:val="0"/>
        <w:keepLines w:val="0"/>
        <w:pageBreakBefore w:val="0"/>
        <w:widowControl w:val="0"/>
        <w:kinsoku/>
        <w:wordWrap/>
        <w:overflowPunct/>
        <w:topLinePunct w:val="0"/>
        <w:bidi w:val="0"/>
        <w:snapToGrid/>
        <w:spacing w:line="460" w:lineRule="exact"/>
        <w:ind w:firstLine="560"/>
        <w:jc w:val="both"/>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11.4 依照本合同约定乙方应当承担的违约金，甲方有权从应付乙方的本合同款项中直接扣除。</w:t>
      </w:r>
    </w:p>
    <w:p w14:paraId="7E0BDC48">
      <w:pPr>
        <w:pStyle w:val="5"/>
        <w:keepNext w:val="0"/>
        <w:keepLines w:val="0"/>
        <w:pageBreakBefore w:val="0"/>
        <w:widowControl w:val="0"/>
        <w:kinsoku/>
        <w:wordWrap/>
        <w:overflowPunct/>
        <w:topLinePunct w:val="0"/>
        <w:bidi w:val="0"/>
        <w:snapToGrid/>
        <w:spacing w:line="460" w:lineRule="exact"/>
        <w:ind w:firstLine="560"/>
        <w:jc w:val="both"/>
        <w:textAlignment w:val="auto"/>
        <w:rPr>
          <w:rFonts w:hint="eastAsia" w:ascii="宋体" w:hAnsi="宋体" w:eastAsia="宋体" w:cs="宋体"/>
          <w:color w:val="auto"/>
          <w:kern w:val="0"/>
          <w:sz w:val="28"/>
          <w:szCs w:val="28"/>
          <w:lang w:val="en-US" w:eastAsia="zh-CN" w:bidi="ar-SA"/>
        </w:rPr>
      </w:pPr>
      <w:r>
        <w:rPr>
          <w:rFonts w:hint="eastAsia" w:ascii="宋体" w:hAnsi="宋体" w:eastAsia="宋体" w:cs="宋体"/>
          <w:color w:val="auto"/>
          <w:kern w:val="0"/>
          <w:sz w:val="28"/>
          <w:szCs w:val="28"/>
          <w:lang w:val="en-US" w:eastAsia="zh-CN" w:bidi="ar-SA"/>
        </w:rPr>
        <w:t>11.5 双方违约金额不超过合同标的物总金额。</w:t>
      </w:r>
    </w:p>
    <w:p w14:paraId="462B0D91">
      <w:pPr>
        <w:pStyle w:val="5"/>
        <w:keepNext w:val="0"/>
        <w:keepLines w:val="0"/>
        <w:pageBreakBefore w:val="0"/>
        <w:widowControl w:val="0"/>
        <w:kinsoku/>
        <w:wordWrap/>
        <w:overflowPunct/>
        <w:topLinePunct w:val="0"/>
        <w:bidi w:val="0"/>
        <w:snapToGrid/>
        <w:spacing w:line="460" w:lineRule="exact"/>
        <w:ind w:firstLine="560"/>
        <w:jc w:val="both"/>
        <w:textAlignment w:val="auto"/>
        <w:rPr>
          <w:rFonts w:hint="default" w:ascii="宋体" w:hAnsi="宋体" w:eastAsia="宋体" w:cs="宋体"/>
          <w:b/>
          <w:bCs/>
          <w:color w:val="auto"/>
          <w:kern w:val="0"/>
          <w:sz w:val="28"/>
          <w:szCs w:val="28"/>
          <w:lang w:val="en-US" w:eastAsia="zh-CN" w:bidi="ar-SA"/>
        </w:rPr>
      </w:pPr>
      <w:r>
        <w:rPr>
          <w:rFonts w:hint="default" w:ascii="宋体" w:hAnsi="宋体" w:eastAsia="宋体" w:cs="宋体"/>
          <w:b/>
          <w:bCs/>
          <w:color w:val="auto"/>
          <w:kern w:val="0"/>
          <w:sz w:val="28"/>
          <w:szCs w:val="28"/>
          <w:lang w:val="en-US" w:eastAsia="zh-CN" w:bidi="ar-SA"/>
        </w:rPr>
        <w:t>第十</w:t>
      </w:r>
      <w:r>
        <w:rPr>
          <w:rFonts w:hint="eastAsia" w:ascii="宋体" w:hAnsi="宋体" w:eastAsia="宋体" w:cs="宋体"/>
          <w:b/>
          <w:bCs/>
          <w:color w:val="auto"/>
          <w:kern w:val="0"/>
          <w:sz w:val="28"/>
          <w:szCs w:val="28"/>
          <w:lang w:val="en-US" w:eastAsia="zh-CN" w:bidi="ar-SA"/>
        </w:rPr>
        <w:t>二</w:t>
      </w:r>
      <w:r>
        <w:rPr>
          <w:rFonts w:hint="default" w:ascii="宋体" w:hAnsi="宋体" w:eastAsia="宋体" w:cs="宋体"/>
          <w:b/>
          <w:bCs/>
          <w:color w:val="auto"/>
          <w:kern w:val="0"/>
          <w:sz w:val="28"/>
          <w:szCs w:val="28"/>
          <w:lang w:val="en-US" w:eastAsia="zh-CN" w:bidi="ar-SA"/>
        </w:rPr>
        <w:t>条 争议解决</w:t>
      </w:r>
    </w:p>
    <w:p w14:paraId="697FB38E">
      <w:pPr>
        <w:pStyle w:val="5"/>
        <w:keepNext w:val="0"/>
        <w:keepLines w:val="0"/>
        <w:pageBreakBefore w:val="0"/>
        <w:widowControl w:val="0"/>
        <w:kinsoku/>
        <w:wordWrap/>
        <w:overflowPunct/>
        <w:topLinePunct w:val="0"/>
        <w:bidi w:val="0"/>
        <w:snapToGrid/>
        <w:spacing w:line="460" w:lineRule="exact"/>
        <w:ind w:firstLine="560"/>
        <w:jc w:val="both"/>
        <w:textAlignment w:val="auto"/>
        <w:rPr>
          <w:rFonts w:hint="default" w:ascii="宋体" w:hAnsi="宋体" w:eastAsia="宋体" w:cs="宋体"/>
          <w:color w:val="auto"/>
          <w:kern w:val="0"/>
          <w:sz w:val="28"/>
          <w:szCs w:val="28"/>
          <w:lang w:val="en-US" w:eastAsia="zh-CN" w:bidi="ar-SA"/>
        </w:rPr>
      </w:pPr>
      <w:r>
        <w:rPr>
          <w:rFonts w:hint="default" w:ascii="宋体" w:hAnsi="宋体" w:eastAsia="宋体" w:cs="宋体"/>
          <w:color w:val="auto"/>
          <w:kern w:val="0"/>
          <w:sz w:val="28"/>
          <w:szCs w:val="28"/>
          <w:lang w:val="en-US" w:eastAsia="zh-CN" w:bidi="ar-SA"/>
        </w:rPr>
        <w:t>双方因履行本合同而发生的争议，应先协商解决。协商不成的，任意一方均有权向甲方所在地</w:t>
      </w:r>
      <w:r>
        <w:rPr>
          <w:rFonts w:hint="eastAsia" w:ascii="宋体" w:hAnsi="宋体" w:eastAsia="宋体" w:cs="宋体"/>
          <w:color w:val="auto"/>
          <w:kern w:val="0"/>
          <w:sz w:val="28"/>
          <w:szCs w:val="28"/>
          <w:lang w:val="en-US" w:eastAsia="zh-CN" w:bidi="ar-SA"/>
        </w:rPr>
        <w:t>有管辖权的</w:t>
      </w:r>
      <w:r>
        <w:rPr>
          <w:rFonts w:hint="default" w:ascii="宋体" w:hAnsi="宋体" w:eastAsia="宋体" w:cs="宋体"/>
          <w:color w:val="auto"/>
          <w:kern w:val="0"/>
          <w:sz w:val="28"/>
          <w:szCs w:val="28"/>
          <w:lang w:val="en-US" w:eastAsia="zh-CN" w:bidi="ar-SA"/>
        </w:rPr>
        <w:t>人民法院起诉。</w:t>
      </w:r>
    </w:p>
    <w:p w14:paraId="6D07EEF9">
      <w:pPr>
        <w:pStyle w:val="5"/>
        <w:keepNext w:val="0"/>
        <w:keepLines w:val="0"/>
        <w:pageBreakBefore w:val="0"/>
        <w:widowControl w:val="0"/>
        <w:kinsoku/>
        <w:wordWrap/>
        <w:overflowPunct/>
        <w:topLinePunct w:val="0"/>
        <w:bidi w:val="0"/>
        <w:snapToGrid/>
        <w:spacing w:line="460" w:lineRule="exact"/>
        <w:ind w:firstLine="560"/>
        <w:jc w:val="both"/>
        <w:textAlignment w:val="auto"/>
        <w:rPr>
          <w:rFonts w:hint="default" w:ascii="宋体" w:hAnsi="宋体" w:eastAsia="宋体" w:cs="宋体"/>
          <w:b/>
          <w:bCs/>
          <w:color w:val="auto"/>
          <w:kern w:val="0"/>
          <w:sz w:val="28"/>
          <w:szCs w:val="28"/>
          <w:lang w:val="en-US" w:eastAsia="zh-CN" w:bidi="ar-SA"/>
        </w:rPr>
      </w:pPr>
      <w:r>
        <w:rPr>
          <w:rFonts w:hint="default" w:ascii="宋体" w:hAnsi="宋体" w:eastAsia="宋体" w:cs="宋体"/>
          <w:b/>
          <w:bCs/>
          <w:color w:val="auto"/>
          <w:kern w:val="0"/>
          <w:sz w:val="28"/>
          <w:szCs w:val="28"/>
          <w:lang w:val="en-US" w:eastAsia="zh-CN" w:bidi="ar-SA"/>
        </w:rPr>
        <w:t>第十</w:t>
      </w:r>
      <w:r>
        <w:rPr>
          <w:rFonts w:hint="eastAsia" w:ascii="宋体" w:hAnsi="宋体" w:eastAsia="宋体" w:cs="宋体"/>
          <w:b/>
          <w:bCs/>
          <w:color w:val="auto"/>
          <w:kern w:val="0"/>
          <w:sz w:val="28"/>
          <w:szCs w:val="28"/>
          <w:lang w:val="en-US" w:eastAsia="zh-CN" w:bidi="ar-SA"/>
        </w:rPr>
        <w:t>三</w:t>
      </w:r>
      <w:r>
        <w:rPr>
          <w:rFonts w:hint="default" w:ascii="宋体" w:hAnsi="宋体" w:eastAsia="宋体" w:cs="宋体"/>
          <w:b/>
          <w:bCs/>
          <w:color w:val="auto"/>
          <w:kern w:val="0"/>
          <w:sz w:val="28"/>
          <w:szCs w:val="28"/>
          <w:lang w:val="en-US" w:eastAsia="zh-CN" w:bidi="ar-SA"/>
        </w:rPr>
        <w:t>条 附则</w:t>
      </w:r>
    </w:p>
    <w:p w14:paraId="010367E0">
      <w:pPr>
        <w:pStyle w:val="5"/>
        <w:keepNext w:val="0"/>
        <w:keepLines w:val="0"/>
        <w:pageBreakBefore w:val="0"/>
        <w:widowControl w:val="0"/>
        <w:kinsoku/>
        <w:wordWrap/>
        <w:overflowPunct/>
        <w:topLinePunct w:val="0"/>
        <w:bidi w:val="0"/>
        <w:snapToGrid/>
        <w:spacing w:line="460" w:lineRule="exact"/>
        <w:ind w:firstLine="560"/>
        <w:jc w:val="both"/>
        <w:textAlignment w:val="auto"/>
        <w:rPr>
          <w:rFonts w:hint="default" w:ascii="宋体" w:hAnsi="宋体" w:eastAsia="宋体" w:cs="宋体"/>
          <w:color w:val="auto"/>
          <w:kern w:val="0"/>
          <w:sz w:val="28"/>
          <w:szCs w:val="28"/>
          <w:lang w:val="en-US" w:eastAsia="zh-CN" w:bidi="ar-SA"/>
        </w:rPr>
      </w:pPr>
      <w:r>
        <w:rPr>
          <w:rFonts w:hint="default" w:ascii="宋体" w:hAnsi="宋体" w:eastAsia="宋体" w:cs="宋体"/>
          <w:color w:val="auto"/>
          <w:kern w:val="0"/>
          <w:sz w:val="28"/>
          <w:szCs w:val="28"/>
          <w:lang w:val="en-US" w:eastAsia="zh-CN" w:bidi="ar-SA"/>
        </w:rPr>
        <w:t>1</w:t>
      </w:r>
      <w:r>
        <w:rPr>
          <w:rFonts w:hint="eastAsia" w:ascii="宋体" w:hAnsi="宋体" w:eastAsia="宋体" w:cs="宋体"/>
          <w:color w:val="auto"/>
          <w:kern w:val="0"/>
          <w:sz w:val="28"/>
          <w:szCs w:val="28"/>
          <w:lang w:val="en-US" w:eastAsia="zh-CN" w:bidi="ar-SA"/>
        </w:rPr>
        <w:t>3</w:t>
      </w:r>
      <w:r>
        <w:rPr>
          <w:rFonts w:hint="default" w:ascii="宋体" w:hAnsi="宋体" w:eastAsia="宋体" w:cs="宋体"/>
          <w:color w:val="auto"/>
          <w:kern w:val="0"/>
          <w:sz w:val="28"/>
          <w:szCs w:val="28"/>
          <w:lang w:val="en-US" w:eastAsia="zh-CN" w:bidi="ar-SA"/>
        </w:rPr>
        <w:t>.1 本合同</w:t>
      </w:r>
      <w:r>
        <w:rPr>
          <w:rFonts w:hint="eastAsia" w:ascii="宋体" w:hAnsi="宋体" w:eastAsia="宋体" w:cs="宋体"/>
          <w:color w:val="auto"/>
          <w:kern w:val="0"/>
          <w:sz w:val="28"/>
          <w:szCs w:val="28"/>
          <w:lang w:val="en-US" w:eastAsia="zh-CN" w:bidi="ar-SA"/>
        </w:rPr>
        <w:t>组成文件及解释顺序如下：本合同补充协议、乙方在履行本合同中作出的承诺；本合同及附件；采购需求、响应文件；其他与本合同相关的资料。</w:t>
      </w:r>
    </w:p>
    <w:p w14:paraId="6BED2CFE">
      <w:pPr>
        <w:pStyle w:val="5"/>
        <w:keepNext w:val="0"/>
        <w:keepLines w:val="0"/>
        <w:pageBreakBefore w:val="0"/>
        <w:widowControl w:val="0"/>
        <w:kinsoku/>
        <w:wordWrap/>
        <w:overflowPunct/>
        <w:topLinePunct w:val="0"/>
        <w:bidi w:val="0"/>
        <w:snapToGrid/>
        <w:spacing w:line="460" w:lineRule="exact"/>
        <w:ind w:firstLine="560"/>
        <w:jc w:val="both"/>
        <w:textAlignment w:val="auto"/>
        <w:rPr>
          <w:rFonts w:hint="default" w:ascii="宋体" w:hAnsi="宋体" w:eastAsia="宋体" w:cs="宋体"/>
          <w:color w:val="auto"/>
          <w:kern w:val="0"/>
          <w:sz w:val="28"/>
          <w:szCs w:val="28"/>
          <w:lang w:val="en-US" w:eastAsia="zh-CN" w:bidi="ar-SA"/>
        </w:rPr>
      </w:pPr>
      <w:r>
        <w:rPr>
          <w:rFonts w:hint="default" w:ascii="宋体" w:hAnsi="宋体" w:eastAsia="宋体" w:cs="宋体"/>
          <w:color w:val="auto"/>
          <w:kern w:val="0"/>
          <w:sz w:val="28"/>
          <w:szCs w:val="28"/>
          <w:lang w:val="en-US" w:eastAsia="zh-CN" w:bidi="ar-SA"/>
        </w:rPr>
        <w:t>1</w:t>
      </w:r>
      <w:r>
        <w:rPr>
          <w:rFonts w:hint="eastAsia" w:ascii="宋体" w:hAnsi="宋体" w:eastAsia="宋体" w:cs="宋体"/>
          <w:color w:val="auto"/>
          <w:kern w:val="0"/>
          <w:sz w:val="28"/>
          <w:szCs w:val="28"/>
          <w:lang w:val="en-US" w:eastAsia="zh-CN" w:bidi="ar-SA"/>
        </w:rPr>
        <w:t>3</w:t>
      </w:r>
      <w:r>
        <w:rPr>
          <w:rFonts w:hint="default" w:ascii="宋体" w:hAnsi="宋体" w:eastAsia="宋体" w:cs="宋体"/>
          <w:color w:val="auto"/>
          <w:kern w:val="0"/>
          <w:sz w:val="28"/>
          <w:szCs w:val="28"/>
          <w:lang w:val="en-US" w:eastAsia="zh-CN" w:bidi="ar-SA"/>
        </w:rPr>
        <w:t>.2 本合同一式肆份，甲方执叁份，乙方执壹份，自双方签字并盖章之日起生效。</w:t>
      </w:r>
    </w:p>
    <w:p w14:paraId="5198401C">
      <w:pPr>
        <w:pStyle w:val="5"/>
        <w:keepNext w:val="0"/>
        <w:keepLines w:val="0"/>
        <w:pageBreakBefore w:val="0"/>
        <w:widowControl w:val="0"/>
        <w:kinsoku/>
        <w:wordWrap/>
        <w:overflowPunct/>
        <w:topLinePunct w:val="0"/>
        <w:bidi w:val="0"/>
        <w:snapToGrid/>
        <w:spacing w:line="460" w:lineRule="exact"/>
        <w:ind w:firstLine="560"/>
        <w:jc w:val="both"/>
        <w:textAlignment w:val="auto"/>
        <w:rPr>
          <w:rFonts w:hint="default" w:ascii="宋体" w:hAnsi="宋体" w:eastAsia="宋体" w:cs="宋体"/>
          <w:color w:val="auto"/>
          <w:kern w:val="0"/>
          <w:sz w:val="28"/>
          <w:szCs w:val="28"/>
          <w:lang w:val="en-US" w:eastAsia="zh-CN" w:bidi="ar-SA"/>
        </w:rPr>
      </w:pPr>
    </w:p>
    <w:p w14:paraId="6C7D7B0A">
      <w:pPr>
        <w:pStyle w:val="5"/>
        <w:keepNext w:val="0"/>
        <w:keepLines w:val="0"/>
        <w:pageBreakBefore w:val="0"/>
        <w:widowControl w:val="0"/>
        <w:kinsoku/>
        <w:wordWrap/>
        <w:overflowPunct/>
        <w:topLinePunct w:val="0"/>
        <w:bidi w:val="0"/>
        <w:snapToGrid/>
        <w:spacing w:line="460" w:lineRule="exact"/>
        <w:ind w:firstLine="560"/>
        <w:jc w:val="both"/>
        <w:textAlignment w:val="auto"/>
        <w:rPr>
          <w:rFonts w:hint="default" w:ascii="宋体" w:hAnsi="宋体" w:eastAsia="宋体" w:cs="宋体"/>
          <w:color w:val="auto"/>
          <w:spacing w:val="-11"/>
          <w:kern w:val="0"/>
          <w:sz w:val="28"/>
          <w:szCs w:val="28"/>
          <w:lang w:val="en-US" w:eastAsia="zh-CN" w:bidi="ar-SA"/>
        </w:rPr>
      </w:pPr>
      <w:r>
        <w:rPr>
          <w:rFonts w:hint="default" w:ascii="宋体" w:hAnsi="宋体" w:eastAsia="宋体" w:cs="宋体"/>
          <w:color w:val="auto"/>
          <w:spacing w:val="-11"/>
          <w:kern w:val="0"/>
          <w:sz w:val="28"/>
          <w:szCs w:val="28"/>
          <w:lang w:val="en-US" w:eastAsia="zh-CN" w:bidi="ar-SA"/>
        </w:rPr>
        <w:t>甲方（盖章）：娄底市中心医院</w:t>
      </w:r>
      <w:r>
        <w:rPr>
          <w:rFonts w:hint="default" w:ascii="宋体" w:hAnsi="宋体" w:eastAsia="宋体" w:cs="宋体"/>
          <w:color w:val="auto"/>
          <w:kern w:val="0"/>
          <w:sz w:val="28"/>
          <w:szCs w:val="28"/>
          <w:lang w:val="en-US" w:eastAsia="zh-CN" w:bidi="ar-SA"/>
        </w:rPr>
        <w:t xml:space="preserve">   </w:t>
      </w:r>
      <w:r>
        <w:rPr>
          <w:rFonts w:hint="eastAsia" w:ascii="宋体" w:hAnsi="宋体" w:eastAsia="宋体" w:cs="宋体"/>
          <w:color w:val="auto"/>
          <w:kern w:val="0"/>
          <w:sz w:val="28"/>
          <w:szCs w:val="28"/>
          <w:lang w:val="en-US" w:eastAsia="zh-CN" w:bidi="ar-SA"/>
        </w:rPr>
        <w:t xml:space="preserve">   </w:t>
      </w:r>
      <w:r>
        <w:rPr>
          <w:rFonts w:hint="default" w:ascii="宋体" w:hAnsi="宋体" w:eastAsia="宋体" w:cs="宋体"/>
          <w:color w:val="auto"/>
          <w:spacing w:val="-11"/>
          <w:kern w:val="0"/>
          <w:sz w:val="28"/>
          <w:szCs w:val="28"/>
          <w:lang w:val="en-US" w:eastAsia="zh-CN" w:bidi="ar-SA"/>
        </w:rPr>
        <w:t>乙方（盖章）：卫宁健康科技集团</w:t>
      </w:r>
    </w:p>
    <w:p w14:paraId="08F46673">
      <w:pPr>
        <w:pStyle w:val="5"/>
        <w:keepNext w:val="0"/>
        <w:keepLines w:val="0"/>
        <w:pageBreakBefore w:val="0"/>
        <w:widowControl w:val="0"/>
        <w:kinsoku/>
        <w:wordWrap/>
        <w:overflowPunct/>
        <w:topLinePunct w:val="0"/>
        <w:bidi w:val="0"/>
        <w:snapToGrid/>
        <w:spacing w:line="460" w:lineRule="exact"/>
        <w:ind w:firstLine="6867" w:firstLineChars="2662"/>
        <w:jc w:val="both"/>
        <w:textAlignment w:val="auto"/>
        <w:rPr>
          <w:rFonts w:hint="default" w:ascii="宋体" w:hAnsi="宋体" w:eastAsia="宋体" w:cs="宋体"/>
          <w:color w:val="auto"/>
          <w:kern w:val="0"/>
          <w:sz w:val="28"/>
          <w:szCs w:val="28"/>
          <w:lang w:val="en-US" w:eastAsia="zh-CN" w:bidi="ar-SA"/>
        </w:rPr>
      </w:pPr>
      <w:r>
        <w:rPr>
          <w:rFonts w:hint="default" w:ascii="宋体" w:hAnsi="宋体" w:eastAsia="宋体" w:cs="宋体"/>
          <w:color w:val="auto"/>
          <w:spacing w:val="-11"/>
          <w:kern w:val="0"/>
          <w:sz w:val="28"/>
          <w:szCs w:val="28"/>
          <w:lang w:val="en-US" w:eastAsia="zh-CN" w:bidi="ar-SA"/>
        </w:rPr>
        <w:t xml:space="preserve">股份有限公司 </w:t>
      </w:r>
      <w:r>
        <w:rPr>
          <w:rFonts w:hint="default" w:ascii="宋体" w:hAnsi="宋体" w:eastAsia="宋体" w:cs="宋体"/>
          <w:color w:val="auto"/>
          <w:kern w:val="0"/>
          <w:sz w:val="28"/>
          <w:szCs w:val="28"/>
          <w:lang w:val="en-US" w:eastAsia="zh-CN" w:bidi="ar-SA"/>
        </w:rPr>
        <w:t xml:space="preserve">     </w:t>
      </w:r>
    </w:p>
    <w:p w14:paraId="12EEF140">
      <w:pPr>
        <w:pStyle w:val="5"/>
        <w:keepNext w:val="0"/>
        <w:keepLines w:val="0"/>
        <w:pageBreakBefore w:val="0"/>
        <w:widowControl w:val="0"/>
        <w:kinsoku/>
        <w:wordWrap/>
        <w:overflowPunct/>
        <w:topLinePunct w:val="0"/>
        <w:bidi w:val="0"/>
        <w:snapToGrid/>
        <w:spacing w:line="460" w:lineRule="exact"/>
        <w:ind w:firstLine="560"/>
        <w:jc w:val="both"/>
        <w:textAlignment w:val="auto"/>
        <w:rPr>
          <w:rFonts w:hint="default" w:ascii="宋体" w:hAnsi="宋体" w:eastAsia="宋体" w:cs="宋体"/>
          <w:color w:val="auto"/>
          <w:kern w:val="0"/>
          <w:sz w:val="28"/>
          <w:szCs w:val="28"/>
          <w:lang w:val="en-US" w:eastAsia="zh-CN" w:bidi="ar-SA"/>
        </w:rPr>
      </w:pPr>
    </w:p>
    <w:p w14:paraId="3C06FEED">
      <w:pPr>
        <w:pStyle w:val="5"/>
        <w:keepNext w:val="0"/>
        <w:keepLines w:val="0"/>
        <w:pageBreakBefore w:val="0"/>
        <w:widowControl w:val="0"/>
        <w:kinsoku/>
        <w:wordWrap/>
        <w:overflowPunct/>
        <w:topLinePunct w:val="0"/>
        <w:bidi w:val="0"/>
        <w:snapToGrid/>
        <w:spacing w:line="460" w:lineRule="exact"/>
        <w:jc w:val="both"/>
        <w:textAlignment w:val="auto"/>
        <w:rPr>
          <w:rFonts w:hint="default" w:ascii="宋体" w:hAnsi="宋体" w:eastAsia="宋体" w:cs="宋体"/>
          <w:color w:val="auto"/>
          <w:kern w:val="0"/>
          <w:sz w:val="28"/>
          <w:szCs w:val="28"/>
          <w:lang w:val="en-US" w:eastAsia="zh-CN" w:bidi="ar-SA"/>
        </w:rPr>
      </w:pPr>
    </w:p>
    <w:p w14:paraId="220FC24A">
      <w:pPr>
        <w:pStyle w:val="5"/>
        <w:keepNext w:val="0"/>
        <w:keepLines w:val="0"/>
        <w:pageBreakBefore w:val="0"/>
        <w:widowControl w:val="0"/>
        <w:kinsoku/>
        <w:wordWrap/>
        <w:overflowPunct/>
        <w:topLinePunct w:val="0"/>
        <w:bidi w:val="0"/>
        <w:snapToGrid/>
        <w:spacing w:line="460" w:lineRule="exact"/>
        <w:ind w:firstLine="560"/>
        <w:jc w:val="both"/>
        <w:textAlignment w:val="auto"/>
        <w:rPr>
          <w:rFonts w:hint="default" w:ascii="宋体" w:hAnsi="宋体" w:eastAsia="宋体" w:cs="宋体"/>
          <w:color w:val="auto"/>
          <w:kern w:val="0"/>
          <w:sz w:val="28"/>
          <w:szCs w:val="28"/>
          <w:lang w:val="en-US" w:eastAsia="zh-CN" w:bidi="ar-SA"/>
        </w:rPr>
      </w:pPr>
      <w:r>
        <w:rPr>
          <w:rFonts w:hint="default" w:ascii="宋体" w:hAnsi="宋体" w:eastAsia="宋体" w:cs="宋体"/>
          <w:color w:val="auto"/>
          <w:kern w:val="0"/>
          <w:sz w:val="28"/>
          <w:szCs w:val="28"/>
          <w:lang w:val="en-US" w:eastAsia="zh-CN" w:bidi="ar-SA"/>
        </w:rPr>
        <w:t>法定代表人（签名）：　　　　     法定代表人（签名）：</w:t>
      </w:r>
    </w:p>
    <w:p w14:paraId="06D87541">
      <w:pPr>
        <w:pStyle w:val="5"/>
        <w:keepNext w:val="0"/>
        <w:keepLines w:val="0"/>
        <w:pageBreakBefore w:val="0"/>
        <w:widowControl w:val="0"/>
        <w:kinsoku/>
        <w:wordWrap/>
        <w:overflowPunct/>
        <w:topLinePunct w:val="0"/>
        <w:bidi w:val="0"/>
        <w:snapToGrid/>
        <w:spacing w:line="460" w:lineRule="exact"/>
        <w:ind w:firstLine="560"/>
        <w:jc w:val="both"/>
        <w:textAlignment w:val="auto"/>
        <w:rPr>
          <w:rFonts w:hint="default" w:ascii="宋体" w:hAnsi="宋体" w:eastAsia="宋体" w:cs="宋体"/>
          <w:color w:val="auto"/>
          <w:kern w:val="0"/>
          <w:sz w:val="28"/>
          <w:szCs w:val="28"/>
          <w:lang w:val="en-US" w:eastAsia="zh-CN" w:bidi="ar-SA"/>
        </w:rPr>
      </w:pPr>
    </w:p>
    <w:p w14:paraId="6609B421">
      <w:pPr>
        <w:pStyle w:val="5"/>
        <w:keepNext w:val="0"/>
        <w:keepLines w:val="0"/>
        <w:pageBreakBefore w:val="0"/>
        <w:widowControl w:val="0"/>
        <w:kinsoku/>
        <w:wordWrap/>
        <w:overflowPunct/>
        <w:topLinePunct w:val="0"/>
        <w:bidi w:val="0"/>
        <w:snapToGrid/>
        <w:spacing w:line="460" w:lineRule="exact"/>
        <w:jc w:val="both"/>
        <w:textAlignment w:val="auto"/>
        <w:rPr>
          <w:rFonts w:hint="default" w:ascii="宋体" w:hAnsi="宋体" w:eastAsia="宋体" w:cs="宋体"/>
          <w:color w:val="auto"/>
          <w:kern w:val="0"/>
          <w:sz w:val="28"/>
          <w:szCs w:val="28"/>
          <w:lang w:val="en-US" w:eastAsia="zh-CN" w:bidi="ar-SA"/>
        </w:rPr>
      </w:pPr>
    </w:p>
    <w:p w14:paraId="70B2A706">
      <w:pPr>
        <w:pStyle w:val="5"/>
        <w:keepNext w:val="0"/>
        <w:keepLines w:val="0"/>
        <w:pageBreakBefore w:val="0"/>
        <w:widowControl w:val="0"/>
        <w:kinsoku/>
        <w:wordWrap/>
        <w:overflowPunct/>
        <w:topLinePunct w:val="0"/>
        <w:bidi w:val="0"/>
        <w:snapToGrid/>
        <w:spacing w:line="460" w:lineRule="exact"/>
        <w:ind w:firstLine="560"/>
        <w:jc w:val="both"/>
        <w:textAlignment w:val="auto"/>
        <w:rPr>
          <w:rFonts w:hint="default" w:ascii="宋体" w:hAnsi="宋体" w:eastAsia="宋体" w:cs="宋体"/>
          <w:color w:val="auto"/>
          <w:kern w:val="0"/>
          <w:sz w:val="28"/>
          <w:szCs w:val="28"/>
          <w:lang w:val="en-US" w:eastAsia="zh-CN" w:bidi="ar-SA"/>
        </w:rPr>
      </w:pPr>
      <w:r>
        <w:rPr>
          <w:rFonts w:hint="default" w:ascii="宋体" w:hAnsi="宋体" w:eastAsia="宋体" w:cs="宋体"/>
          <w:color w:val="auto"/>
          <w:kern w:val="0"/>
          <w:sz w:val="28"/>
          <w:szCs w:val="28"/>
          <w:lang w:val="en-US" w:eastAsia="zh-CN" w:bidi="ar-SA"/>
        </w:rPr>
        <w:t xml:space="preserve">或委托代理人（签名）：           或委托代理人（签名）：                              </w:t>
      </w:r>
    </w:p>
    <w:p w14:paraId="3E8680E2">
      <w:pPr>
        <w:pStyle w:val="5"/>
        <w:keepNext w:val="0"/>
        <w:keepLines w:val="0"/>
        <w:pageBreakBefore w:val="0"/>
        <w:widowControl w:val="0"/>
        <w:kinsoku/>
        <w:wordWrap/>
        <w:overflowPunct/>
        <w:topLinePunct w:val="0"/>
        <w:bidi w:val="0"/>
        <w:snapToGrid/>
        <w:spacing w:line="460" w:lineRule="exact"/>
        <w:ind w:firstLine="560"/>
        <w:jc w:val="both"/>
        <w:textAlignment w:val="auto"/>
        <w:rPr>
          <w:rFonts w:hint="default" w:ascii="宋体" w:hAnsi="宋体" w:eastAsia="宋体" w:cs="宋体"/>
          <w:color w:val="auto"/>
          <w:kern w:val="0"/>
          <w:sz w:val="28"/>
          <w:szCs w:val="28"/>
          <w:lang w:val="en-US" w:eastAsia="zh-CN" w:bidi="ar-SA"/>
        </w:rPr>
      </w:pPr>
    </w:p>
    <w:p w14:paraId="510F378B">
      <w:pPr>
        <w:pStyle w:val="5"/>
        <w:keepNext w:val="0"/>
        <w:keepLines w:val="0"/>
        <w:pageBreakBefore w:val="0"/>
        <w:widowControl w:val="0"/>
        <w:kinsoku/>
        <w:wordWrap/>
        <w:overflowPunct/>
        <w:topLinePunct w:val="0"/>
        <w:bidi w:val="0"/>
        <w:snapToGrid/>
        <w:spacing w:line="460" w:lineRule="exact"/>
        <w:ind w:firstLine="560"/>
        <w:jc w:val="both"/>
        <w:textAlignment w:val="auto"/>
        <w:rPr>
          <w:rFonts w:hint="default" w:ascii="宋体" w:hAnsi="宋体" w:eastAsia="宋体" w:cs="宋体"/>
          <w:color w:val="auto"/>
          <w:kern w:val="0"/>
          <w:sz w:val="28"/>
          <w:szCs w:val="28"/>
          <w:lang w:val="en-US" w:eastAsia="zh-CN" w:bidi="ar-SA"/>
        </w:rPr>
      </w:pPr>
    </w:p>
    <w:p w14:paraId="1976A484">
      <w:pPr>
        <w:pStyle w:val="5"/>
        <w:keepNext w:val="0"/>
        <w:keepLines w:val="0"/>
        <w:pageBreakBefore w:val="0"/>
        <w:widowControl w:val="0"/>
        <w:kinsoku/>
        <w:wordWrap/>
        <w:overflowPunct/>
        <w:topLinePunct w:val="0"/>
        <w:bidi w:val="0"/>
        <w:snapToGrid/>
        <w:spacing w:line="460" w:lineRule="exact"/>
        <w:ind w:firstLine="560"/>
        <w:jc w:val="both"/>
        <w:textAlignment w:val="auto"/>
        <w:rPr>
          <w:rFonts w:hint="default" w:ascii="宋体" w:hAnsi="宋体" w:eastAsia="宋体" w:cs="宋体"/>
          <w:color w:val="auto"/>
          <w:kern w:val="0"/>
          <w:sz w:val="28"/>
          <w:szCs w:val="28"/>
          <w:lang w:val="en-US" w:eastAsia="zh-CN" w:bidi="ar-SA"/>
        </w:rPr>
      </w:pPr>
      <w:r>
        <w:rPr>
          <w:rFonts w:hint="default" w:ascii="宋体" w:hAnsi="宋体" w:eastAsia="宋体" w:cs="宋体"/>
          <w:color w:val="auto"/>
          <w:kern w:val="0"/>
          <w:sz w:val="28"/>
          <w:szCs w:val="28"/>
          <w:lang w:val="en-US" w:eastAsia="zh-CN" w:bidi="ar-SA"/>
        </w:rPr>
        <w:t xml:space="preserve">合同签订地履行地：娄底市娄星区  </w:t>
      </w:r>
      <w:r>
        <w:rPr>
          <w:rFonts w:hint="eastAsia" w:ascii="宋体" w:hAnsi="宋体" w:eastAsia="宋体" w:cs="宋体"/>
          <w:color w:val="auto"/>
          <w:kern w:val="0"/>
          <w:sz w:val="28"/>
          <w:szCs w:val="28"/>
          <w:lang w:val="en-US" w:eastAsia="zh-CN" w:bidi="ar-SA"/>
        </w:rPr>
        <w:t xml:space="preserve"> </w:t>
      </w:r>
      <w:r>
        <w:rPr>
          <w:rFonts w:hint="default" w:ascii="宋体" w:hAnsi="宋体" w:eastAsia="宋体" w:cs="宋体"/>
          <w:color w:val="auto"/>
          <w:kern w:val="0"/>
          <w:sz w:val="28"/>
          <w:szCs w:val="28"/>
          <w:lang w:val="en-US" w:eastAsia="zh-CN" w:bidi="ar-SA"/>
        </w:rPr>
        <w:t>签订日期：   年   月   日</w:t>
      </w:r>
    </w:p>
    <w:p w14:paraId="6F92F293">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auto"/>
          <w:kern w:val="0"/>
          <w:sz w:val="28"/>
          <w:szCs w:val="28"/>
          <w:lang w:val="en-US" w:eastAsia="zh-CN" w:bidi="ar-SA"/>
        </w:rPr>
      </w:pPr>
    </w:p>
    <w:p w14:paraId="7A2B865A">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auto"/>
          <w:kern w:val="0"/>
          <w:sz w:val="28"/>
          <w:szCs w:val="28"/>
          <w:lang w:val="en-US" w:eastAsia="zh-CN" w:bidi="ar-SA"/>
        </w:rPr>
      </w:pPr>
    </w:p>
    <w:p w14:paraId="3FE08785">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auto"/>
          <w:kern w:val="0"/>
          <w:sz w:val="28"/>
          <w:szCs w:val="28"/>
          <w:lang w:val="en-US" w:eastAsia="zh-CN" w:bidi="ar-SA"/>
        </w:rPr>
      </w:pPr>
    </w:p>
    <w:p w14:paraId="488FF96B">
      <w:pPr>
        <w:pStyle w:val="5"/>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auto"/>
          <w:kern w:val="0"/>
          <w:sz w:val="28"/>
          <w:szCs w:val="28"/>
          <w:lang w:val="en-US" w:eastAsia="zh-CN" w:bidi="ar-SA"/>
        </w:rPr>
      </w:pPr>
    </w:p>
    <w:p w14:paraId="0FC6B03B">
      <w:pPr>
        <w:pStyle w:val="10"/>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Autospacing="0" w:line="480" w:lineRule="exact"/>
        <w:ind w:left="0" w:right="0" w:firstLine="0"/>
        <w:jc w:val="left"/>
        <w:rPr>
          <w:rFonts w:ascii="微软雅黑" w:hAnsi="微软雅黑" w:eastAsia="微软雅黑" w:cs="微软雅黑"/>
          <w:i w:val="0"/>
          <w:iCs w:val="0"/>
          <w:caps w:val="0"/>
          <w:color w:val="000000"/>
          <w:spacing w:val="0"/>
          <w:sz w:val="27"/>
          <w:szCs w:val="27"/>
        </w:rPr>
      </w:pPr>
    </w:p>
    <w:p w14:paraId="6F0DBBF8">
      <w:pPr>
        <w:keepNext w:val="0"/>
        <w:keepLines w:val="0"/>
        <w:pageBreakBefore w:val="0"/>
        <w:widowControl w:val="0"/>
        <w:kinsoku/>
        <w:wordWrap/>
        <w:overflowPunct/>
        <w:topLinePunct w:val="0"/>
        <w:autoSpaceDE/>
        <w:autoSpaceDN/>
        <w:bidi w:val="0"/>
        <w:spacing w:line="480" w:lineRule="exact"/>
      </w:pPr>
    </w:p>
    <w:p w14:paraId="13E9B742">
      <w:pPr>
        <w:pStyle w:val="6"/>
        <w:numPr>
          <w:ilvl w:val="0"/>
          <w:numId w:val="0"/>
        </w:numPr>
        <w:spacing w:line="240" w:lineRule="auto"/>
        <w:ind w:left="2940" w:leftChars="0"/>
        <w:jc w:val="both"/>
        <w:rPr>
          <w:rFonts w:hint="eastAsia" w:ascii="宋体" w:hAnsi="宋体" w:cs="宋体"/>
          <w:color w:val="auto"/>
          <w:sz w:val="30"/>
          <w:szCs w:val="30"/>
        </w:rPr>
      </w:pPr>
      <w:r>
        <w:rPr>
          <w:rFonts w:hint="eastAsia" w:ascii="宋体" w:hAnsi="宋体" w:cs="宋体"/>
          <w:color w:val="auto"/>
          <w:sz w:val="30"/>
          <w:szCs w:val="30"/>
          <w:lang w:val="en-US" w:eastAsia="zh-CN"/>
        </w:rPr>
        <w:t xml:space="preserve">第三章 </w:t>
      </w:r>
      <w:r>
        <w:rPr>
          <w:rFonts w:hint="eastAsia" w:ascii="宋体" w:hAnsi="宋体" w:cs="宋体"/>
          <w:color w:val="auto"/>
          <w:sz w:val="30"/>
          <w:szCs w:val="30"/>
        </w:rPr>
        <w:t>投标文件的格式</w:t>
      </w:r>
    </w:p>
    <w:p w14:paraId="74E273B8">
      <w:pPr>
        <w:pStyle w:val="6"/>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14:paraId="647B25D8">
      <w:pPr>
        <w:rPr>
          <w:rFonts w:hint="eastAsia" w:ascii="宋体" w:hAnsi="宋体" w:cs="宋体"/>
          <w:color w:val="auto"/>
        </w:rPr>
      </w:pPr>
    </w:p>
    <w:bookmarkEnd w:id="1"/>
    <w:p w14:paraId="78962428">
      <w:pPr>
        <w:rPr>
          <w:rFonts w:hint="eastAsia"/>
          <w:color w:val="auto"/>
        </w:rPr>
      </w:pPr>
    </w:p>
    <w:p w14:paraId="36F42CE8">
      <w:pPr>
        <w:jc w:val="center"/>
        <w:rPr>
          <w:b/>
          <w:color w:val="auto"/>
          <w:sz w:val="24"/>
        </w:rPr>
      </w:pPr>
      <w:r>
        <w:rPr>
          <w:b/>
          <w:color w:val="auto"/>
          <w:sz w:val="28"/>
          <w:szCs w:val="28"/>
        </w:rPr>
        <w:t>第一部分、开标一览表</w:t>
      </w:r>
    </w:p>
    <w:p w14:paraId="7FB9E15C">
      <w:pPr>
        <w:jc w:val="center"/>
        <w:rPr>
          <w:rFonts w:hint="eastAsia" w:eastAsia="宋体"/>
          <w:b/>
          <w:color w:val="auto"/>
          <w:sz w:val="24"/>
          <w:lang w:eastAsia="zh-CN"/>
        </w:rPr>
      </w:pPr>
      <w:r>
        <w:rPr>
          <w:rFonts w:hint="eastAsia"/>
          <w:b/>
          <w:color w:val="auto"/>
          <w:sz w:val="24"/>
          <w:lang w:eastAsia="zh-CN"/>
        </w:rPr>
        <w:t>注：此项内容需包含投标商品名称、规格型号、生产厂家、数量、单价、总价、质保年限等信息</w:t>
      </w:r>
    </w:p>
    <w:p w14:paraId="45EABF19">
      <w:pPr>
        <w:pStyle w:val="15"/>
        <w:rPr>
          <w:color w:val="auto"/>
        </w:rPr>
      </w:pPr>
    </w:p>
    <w:p w14:paraId="49F08D41">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14:paraId="4829FCAE">
      <w:pPr>
        <w:pStyle w:val="14"/>
        <w:rPr>
          <w:rFonts w:hint="eastAsia"/>
          <w:color w:val="auto"/>
          <w:lang w:eastAsia="zh-CN"/>
        </w:rPr>
      </w:pPr>
    </w:p>
    <w:p w14:paraId="2636BBFE">
      <w:pPr>
        <w:adjustRightInd w:val="0"/>
        <w:snapToGrid w:val="0"/>
        <w:spacing w:line="360" w:lineRule="auto"/>
        <w:jc w:val="center"/>
        <w:rPr>
          <w:rFonts w:hint="eastAsia" w:ascii="宋体" w:hAnsi="宋体" w:cs="宋体"/>
          <w:b/>
          <w:color w:val="auto"/>
          <w:sz w:val="24"/>
          <w:szCs w:val="20"/>
        </w:rPr>
      </w:pPr>
    </w:p>
    <w:p w14:paraId="3E99178D">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14:paraId="3BC0B43E">
      <w:pPr>
        <w:adjustRightInd w:val="0"/>
        <w:snapToGrid w:val="0"/>
        <w:spacing w:line="360" w:lineRule="auto"/>
        <w:rPr>
          <w:rFonts w:hint="eastAsia" w:ascii="宋体" w:hAnsi="宋体" w:cs="宋体"/>
          <w:b/>
          <w:color w:val="auto"/>
          <w:sz w:val="28"/>
          <w:szCs w:val="28"/>
        </w:rPr>
      </w:pPr>
    </w:p>
    <w:p w14:paraId="150B1444">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14:paraId="4A3908B1">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14:paraId="546A0F90">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14:paraId="276CFC9A">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14:paraId="7C1575A2">
      <w:pPr>
        <w:adjustRightInd w:val="0"/>
        <w:snapToGrid w:val="0"/>
        <w:spacing w:line="360" w:lineRule="auto"/>
        <w:ind w:firstLine="480" w:firstLineChars="200"/>
        <w:rPr>
          <w:rFonts w:hint="eastAsia" w:ascii="宋体" w:hAnsi="宋体" w:cs="宋体"/>
          <w:color w:val="auto"/>
          <w:sz w:val="24"/>
        </w:rPr>
      </w:pPr>
    </w:p>
    <w:tbl>
      <w:tblPr>
        <w:tblStyle w:val="11"/>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2FD98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1F5C465D">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14:paraId="01CB041A">
      <w:pPr>
        <w:adjustRightInd w:val="0"/>
        <w:snapToGrid w:val="0"/>
        <w:spacing w:line="360" w:lineRule="auto"/>
        <w:rPr>
          <w:rFonts w:hint="eastAsia" w:ascii="宋体" w:hAnsi="宋体" w:cs="宋体"/>
          <w:color w:val="auto"/>
          <w:sz w:val="24"/>
        </w:rPr>
      </w:pPr>
    </w:p>
    <w:tbl>
      <w:tblPr>
        <w:tblStyle w:val="11"/>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09C63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47165B1D">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14:paraId="6A1A1A83">
      <w:pPr>
        <w:adjustRightInd w:val="0"/>
        <w:snapToGrid w:val="0"/>
        <w:spacing w:line="360" w:lineRule="auto"/>
        <w:rPr>
          <w:rFonts w:hint="eastAsia" w:ascii="宋体" w:hAnsi="宋体" w:cs="宋体"/>
          <w:color w:val="auto"/>
          <w:sz w:val="24"/>
        </w:rPr>
      </w:pPr>
    </w:p>
    <w:p w14:paraId="7D319763">
      <w:pPr>
        <w:adjustRightInd w:val="0"/>
        <w:snapToGrid w:val="0"/>
        <w:spacing w:line="360" w:lineRule="auto"/>
        <w:rPr>
          <w:rFonts w:hint="eastAsia" w:ascii="宋体" w:hAnsi="宋体" w:cs="宋体"/>
          <w:color w:val="auto"/>
          <w:sz w:val="24"/>
        </w:rPr>
      </w:pPr>
    </w:p>
    <w:p w14:paraId="2360019C">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14:paraId="31A13AC5">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14:paraId="2F579D2A">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14:paraId="56D9678C">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005E9C3A">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2" w:name="_Toc486424819"/>
      <w:bookmarkStart w:id="3" w:name="_Toc476514128"/>
    </w:p>
    <w:p w14:paraId="1EA6D6B5">
      <w:pPr>
        <w:pStyle w:val="14"/>
        <w:rPr>
          <w:rFonts w:hint="eastAsia"/>
          <w:color w:val="auto"/>
          <w:lang w:eastAsia="zh-CN"/>
        </w:rPr>
      </w:pPr>
    </w:p>
    <w:p w14:paraId="42B146CD">
      <w:pPr>
        <w:spacing w:before="120" w:beforeLines="50" w:after="120" w:afterLines="50" w:line="276" w:lineRule="auto"/>
        <w:jc w:val="center"/>
        <w:rPr>
          <w:b/>
          <w:color w:val="auto"/>
          <w:sz w:val="24"/>
        </w:rPr>
      </w:pPr>
      <w:r>
        <w:rPr>
          <w:b/>
          <w:color w:val="auto"/>
          <w:sz w:val="24"/>
        </w:rPr>
        <w:t>采购需求响应</w:t>
      </w:r>
    </w:p>
    <w:p w14:paraId="1BDCAEB2">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1"/>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14:paraId="10D2136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14:paraId="16CDC306">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14:paraId="2217E77F">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14:paraId="52672E11">
            <w:pPr>
              <w:adjustRightInd w:val="0"/>
              <w:snapToGrid w:val="0"/>
              <w:spacing w:before="50" w:line="360" w:lineRule="auto"/>
              <w:jc w:val="center"/>
              <w:rPr>
                <w:color w:val="auto"/>
              </w:rPr>
            </w:pPr>
            <w:r>
              <w:rPr>
                <w:color w:val="auto"/>
              </w:rPr>
              <w:t>招标文件要求</w:t>
            </w:r>
          </w:p>
        </w:tc>
        <w:tc>
          <w:tcPr>
            <w:tcW w:w="962" w:type="pct"/>
            <w:noWrap w:val="0"/>
            <w:vAlign w:val="top"/>
          </w:tcPr>
          <w:p w14:paraId="39C80CA9">
            <w:pPr>
              <w:adjustRightInd w:val="0"/>
              <w:snapToGrid w:val="0"/>
              <w:spacing w:before="50" w:line="360" w:lineRule="auto"/>
              <w:jc w:val="center"/>
              <w:rPr>
                <w:color w:val="auto"/>
              </w:rPr>
            </w:pPr>
            <w:r>
              <w:rPr>
                <w:color w:val="auto"/>
              </w:rPr>
              <w:t>投标文件应答</w:t>
            </w:r>
          </w:p>
        </w:tc>
        <w:tc>
          <w:tcPr>
            <w:tcW w:w="905" w:type="pct"/>
            <w:noWrap w:val="0"/>
            <w:vAlign w:val="center"/>
          </w:tcPr>
          <w:p w14:paraId="7AFACFBE">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14:paraId="5FCABC0B">
            <w:pPr>
              <w:adjustRightInd w:val="0"/>
              <w:snapToGrid w:val="0"/>
              <w:spacing w:before="50" w:line="360" w:lineRule="auto"/>
              <w:ind w:left="-88" w:leftChars="-42"/>
              <w:jc w:val="center"/>
              <w:rPr>
                <w:color w:val="auto"/>
                <w:szCs w:val="21"/>
              </w:rPr>
            </w:pPr>
            <w:r>
              <w:rPr>
                <w:color w:val="auto"/>
                <w:szCs w:val="21"/>
              </w:rPr>
              <w:t>偏离说明</w:t>
            </w:r>
          </w:p>
        </w:tc>
      </w:tr>
      <w:tr w14:paraId="6417D0E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309306F2">
            <w:pPr>
              <w:adjustRightInd w:val="0"/>
              <w:snapToGrid w:val="0"/>
              <w:spacing w:before="50" w:line="360" w:lineRule="auto"/>
              <w:ind w:left="-88" w:leftChars="-42"/>
              <w:jc w:val="center"/>
              <w:rPr>
                <w:color w:val="auto"/>
                <w:szCs w:val="21"/>
              </w:rPr>
            </w:pPr>
          </w:p>
        </w:tc>
        <w:tc>
          <w:tcPr>
            <w:tcW w:w="1123" w:type="pct"/>
            <w:noWrap w:val="0"/>
            <w:vAlign w:val="center"/>
          </w:tcPr>
          <w:p w14:paraId="3768D484">
            <w:pPr>
              <w:adjustRightInd w:val="0"/>
              <w:snapToGrid w:val="0"/>
              <w:spacing w:before="50" w:line="360" w:lineRule="auto"/>
              <w:ind w:left="-88" w:leftChars="-42"/>
              <w:jc w:val="center"/>
              <w:rPr>
                <w:color w:val="auto"/>
                <w:szCs w:val="21"/>
              </w:rPr>
            </w:pPr>
          </w:p>
        </w:tc>
        <w:tc>
          <w:tcPr>
            <w:tcW w:w="1000" w:type="pct"/>
            <w:noWrap w:val="0"/>
            <w:vAlign w:val="center"/>
          </w:tcPr>
          <w:p w14:paraId="14278077">
            <w:pPr>
              <w:adjustRightInd w:val="0"/>
              <w:snapToGrid w:val="0"/>
              <w:spacing w:before="50" w:line="360" w:lineRule="auto"/>
              <w:ind w:left="-88" w:leftChars="-42"/>
              <w:jc w:val="center"/>
              <w:rPr>
                <w:color w:val="auto"/>
                <w:szCs w:val="21"/>
              </w:rPr>
            </w:pPr>
          </w:p>
        </w:tc>
        <w:tc>
          <w:tcPr>
            <w:tcW w:w="962" w:type="pct"/>
            <w:noWrap w:val="0"/>
            <w:vAlign w:val="center"/>
          </w:tcPr>
          <w:p w14:paraId="4012661F">
            <w:pPr>
              <w:adjustRightInd w:val="0"/>
              <w:snapToGrid w:val="0"/>
              <w:spacing w:before="50" w:line="360" w:lineRule="auto"/>
              <w:ind w:left="-88" w:leftChars="-42"/>
              <w:jc w:val="center"/>
              <w:rPr>
                <w:color w:val="auto"/>
                <w:szCs w:val="21"/>
              </w:rPr>
            </w:pPr>
          </w:p>
        </w:tc>
        <w:tc>
          <w:tcPr>
            <w:tcW w:w="905" w:type="pct"/>
            <w:noWrap w:val="0"/>
            <w:vAlign w:val="center"/>
          </w:tcPr>
          <w:p w14:paraId="1C1DD2B4">
            <w:pPr>
              <w:adjustRightInd w:val="0"/>
              <w:snapToGrid w:val="0"/>
              <w:spacing w:before="50" w:line="360" w:lineRule="auto"/>
              <w:ind w:left="-88" w:leftChars="-42"/>
              <w:jc w:val="center"/>
              <w:rPr>
                <w:color w:val="auto"/>
                <w:szCs w:val="21"/>
              </w:rPr>
            </w:pPr>
          </w:p>
        </w:tc>
        <w:tc>
          <w:tcPr>
            <w:tcW w:w="634" w:type="pct"/>
            <w:noWrap w:val="0"/>
            <w:vAlign w:val="center"/>
          </w:tcPr>
          <w:p w14:paraId="5799DB7C">
            <w:pPr>
              <w:adjustRightInd w:val="0"/>
              <w:snapToGrid w:val="0"/>
              <w:spacing w:before="50" w:line="360" w:lineRule="auto"/>
              <w:ind w:left="-88" w:leftChars="-42"/>
              <w:jc w:val="center"/>
              <w:rPr>
                <w:color w:val="auto"/>
                <w:szCs w:val="21"/>
              </w:rPr>
            </w:pPr>
          </w:p>
        </w:tc>
      </w:tr>
      <w:tr w14:paraId="0353315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6FA2DAD7">
            <w:pPr>
              <w:adjustRightInd w:val="0"/>
              <w:snapToGrid w:val="0"/>
              <w:spacing w:before="50" w:line="360" w:lineRule="auto"/>
              <w:ind w:left="-88" w:leftChars="-42"/>
              <w:jc w:val="center"/>
              <w:rPr>
                <w:color w:val="auto"/>
                <w:szCs w:val="21"/>
              </w:rPr>
            </w:pPr>
          </w:p>
        </w:tc>
        <w:tc>
          <w:tcPr>
            <w:tcW w:w="1123" w:type="pct"/>
            <w:noWrap w:val="0"/>
            <w:vAlign w:val="center"/>
          </w:tcPr>
          <w:p w14:paraId="0D1BF3EE">
            <w:pPr>
              <w:adjustRightInd w:val="0"/>
              <w:snapToGrid w:val="0"/>
              <w:spacing w:before="50" w:line="360" w:lineRule="auto"/>
              <w:ind w:left="-88" w:leftChars="-42"/>
              <w:jc w:val="center"/>
              <w:rPr>
                <w:color w:val="auto"/>
                <w:szCs w:val="21"/>
              </w:rPr>
            </w:pPr>
          </w:p>
        </w:tc>
        <w:tc>
          <w:tcPr>
            <w:tcW w:w="1000" w:type="pct"/>
            <w:noWrap w:val="0"/>
            <w:vAlign w:val="center"/>
          </w:tcPr>
          <w:p w14:paraId="7EEF9D6D">
            <w:pPr>
              <w:adjustRightInd w:val="0"/>
              <w:snapToGrid w:val="0"/>
              <w:spacing w:before="50" w:line="360" w:lineRule="auto"/>
              <w:ind w:left="-88" w:leftChars="-42"/>
              <w:jc w:val="center"/>
              <w:rPr>
                <w:color w:val="auto"/>
                <w:szCs w:val="21"/>
              </w:rPr>
            </w:pPr>
          </w:p>
        </w:tc>
        <w:tc>
          <w:tcPr>
            <w:tcW w:w="962" w:type="pct"/>
            <w:noWrap w:val="0"/>
            <w:vAlign w:val="center"/>
          </w:tcPr>
          <w:p w14:paraId="096C55E9">
            <w:pPr>
              <w:adjustRightInd w:val="0"/>
              <w:snapToGrid w:val="0"/>
              <w:spacing w:before="50" w:line="360" w:lineRule="auto"/>
              <w:ind w:left="-88" w:leftChars="-42"/>
              <w:jc w:val="center"/>
              <w:rPr>
                <w:color w:val="auto"/>
                <w:szCs w:val="21"/>
              </w:rPr>
            </w:pPr>
          </w:p>
        </w:tc>
        <w:tc>
          <w:tcPr>
            <w:tcW w:w="905" w:type="pct"/>
            <w:noWrap w:val="0"/>
            <w:vAlign w:val="center"/>
          </w:tcPr>
          <w:p w14:paraId="7D4D6F3B">
            <w:pPr>
              <w:adjustRightInd w:val="0"/>
              <w:snapToGrid w:val="0"/>
              <w:spacing w:before="50" w:line="360" w:lineRule="auto"/>
              <w:ind w:left="-88" w:leftChars="-42"/>
              <w:jc w:val="center"/>
              <w:rPr>
                <w:color w:val="auto"/>
                <w:szCs w:val="21"/>
              </w:rPr>
            </w:pPr>
          </w:p>
        </w:tc>
        <w:tc>
          <w:tcPr>
            <w:tcW w:w="634" w:type="pct"/>
            <w:noWrap w:val="0"/>
            <w:vAlign w:val="center"/>
          </w:tcPr>
          <w:p w14:paraId="2A291884">
            <w:pPr>
              <w:adjustRightInd w:val="0"/>
              <w:snapToGrid w:val="0"/>
              <w:spacing w:before="50" w:line="360" w:lineRule="auto"/>
              <w:ind w:left="-88" w:leftChars="-42"/>
              <w:jc w:val="center"/>
              <w:rPr>
                <w:color w:val="auto"/>
                <w:szCs w:val="21"/>
              </w:rPr>
            </w:pPr>
          </w:p>
        </w:tc>
      </w:tr>
      <w:tr w14:paraId="6DB671C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5C9C8D73">
            <w:pPr>
              <w:adjustRightInd w:val="0"/>
              <w:snapToGrid w:val="0"/>
              <w:spacing w:before="50" w:line="360" w:lineRule="auto"/>
              <w:ind w:left="-88" w:leftChars="-42"/>
              <w:jc w:val="center"/>
              <w:rPr>
                <w:color w:val="auto"/>
                <w:szCs w:val="21"/>
              </w:rPr>
            </w:pPr>
          </w:p>
        </w:tc>
        <w:tc>
          <w:tcPr>
            <w:tcW w:w="1123" w:type="pct"/>
            <w:noWrap w:val="0"/>
            <w:vAlign w:val="center"/>
          </w:tcPr>
          <w:p w14:paraId="6EBD485E">
            <w:pPr>
              <w:adjustRightInd w:val="0"/>
              <w:snapToGrid w:val="0"/>
              <w:spacing w:before="50" w:line="360" w:lineRule="auto"/>
              <w:ind w:left="-88" w:leftChars="-42"/>
              <w:jc w:val="center"/>
              <w:rPr>
                <w:color w:val="auto"/>
                <w:szCs w:val="21"/>
              </w:rPr>
            </w:pPr>
          </w:p>
        </w:tc>
        <w:tc>
          <w:tcPr>
            <w:tcW w:w="1000" w:type="pct"/>
            <w:noWrap w:val="0"/>
            <w:vAlign w:val="center"/>
          </w:tcPr>
          <w:p w14:paraId="425F73F0">
            <w:pPr>
              <w:adjustRightInd w:val="0"/>
              <w:snapToGrid w:val="0"/>
              <w:spacing w:before="50" w:line="360" w:lineRule="auto"/>
              <w:ind w:left="-88" w:leftChars="-42"/>
              <w:jc w:val="center"/>
              <w:rPr>
                <w:color w:val="auto"/>
                <w:szCs w:val="21"/>
              </w:rPr>
            </w:pPr>
          </w:p>
        </w:tc>
        <w:tc>
          <w:tcPr>
            <w:tcW w:w="962" w:type="pct"/>
            <w:noWrap w:val="0"/>
            <w:vAlign w:val="center"/>
          </w:tcPr>
          <w:p w14:paraId="0508E1C5">
            <w:pPr>
              <w:adjustRightInd w:val="0"/>
              <w:snapToGrid w:val="0"/>
              <w:spacing w:before="50" w:line="360" w:lineRule="auto"/>
              <w:ind w:left="-88" w:leftChars="-42"/>
              <w:jc w:val="center"/>
              <w:rPr>
                <w:color w:val="auto"/>
                <w:szCs w:val="21"/>
              </w:rPr>
            </w:pPr>
          </w:p>
        </w:tc>
        <w:tc>
          <w:tcPr>
            <w:tcW w:w="905" w:type="pct"/>
            <w:noWrap w:val="0"/>
            <w:vAlign w:val="center"/>
          </w:tcPr>
          <w:p w14:paraId="2F36D6C0">
            <w:pPr>
              <w:adjustRightInd w:val="0"/>
              <w:snapToGrid w:val="0"/>
              <w:spacing w:before="50" w:line="360" w:lineRule="auto"/>
              <w:ind w:left="-88" w:leftChars="-42"/>
              <w:jc w:val="center"/>
              <w:rPr>
                <w:color w:val="auto"/>
                <w:szCs w:val="21"/>
              </w:rPr>
            </w:pPr>
          </w:p>
        </w:tc>
        <w:tc>
          <w:tcPr>
            <w:tcW w:w="634" w:type="pct"/>
            <w:noWrap w:val="0"/>
            <w:vAlign w:val="center"/>
          </w:tcPr>
          <w:p w14:paraId="50EF528C">
            <w:pPr>
              <w:adjustRightInd w:val="0"/>
              <w:snapToGrid w:val="0"/>
              <w:spacing w:before="50" w:line="360" w:lineRule="auto"/>
              <w:ind w:left="-88" w:leftChars="-42"/>
              <w:jc w:val="center"/>
              <w:rPr>
                <w:color w:val="auto"/>
                <w:szCs w:val="21"/>
              </w:rPr>
            </w:pPr>
          </w:p>
        </w:tc>
      </w:tr>
      <w:tr w14:paraId="625F5C5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14:paraId="22DD2BDB">
            <w:pPr>
              <w:rPr>
                <w:b/>
                <w:color w:val="auto"/>
              </w:rPr>
            </w:pPr>
            <w:r>
              <w:rPr>
                <w:b/>
                <w:color w:val="auto"/>
              </w:rPr>
              <w:t>投标人保证：我单位对招标文件的其他采购需求条款完全响应，无偏离。</w:t>
            </w:r>
          </w:p>
        </w:tc>
      </w:tr>
    </w:tbl>
    <w:p w14:paraId="78571502">
      <w:pPr>
        <w:adjustRightInd w:val="0"/>
        <w:snapToGrid w:val="0"/>
        <w:spacing w:before="50" w:line="360" w:lineRule="auto"/>
        <w:ind w:left="-88" w:leftChars="-42"/>
        <w:rPr>
          <w:color w:val="auto"/>
          <w:sz w:val="24"/>
        </w:rPr>
      </w:pPr>
      <w:r>
        <w:rPr>
          <w:b/>
          <w:color w:val="auto"/>
          <w:sz w:val="24"/>
        </w:rPr>
        <w:t>备注</w:t>
      </w:r>
      <w:r>
        <w:rPr>
          <w:color w:val="auto"/>
          <w:sz w:val="24"/>
        </w:rPr>
        <w:t>：</w:t>
      </w:r>
    </w:p>
    <w:p w14:paraId="23BABA2D">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14:paraId="047026BA">
      <w:pPr>
        <w:adjustRightInd w:val="0"/>
        <w:snapToGrid w:val="0"/>
        <w:spacing w:before="50" w:line="360" w:lineRule="auto"/>
        <w:ind w:left="-88" w:leftChars="-42"/>
        <w:rPr>
          <w:rFonts w:hint="eastAsia"/>
          <w:color w:val="auto"/>
          <w:sz w:val="24"/>
        </w:rPr>
      </w:pPr>
      <w:r>
        <w:rPr>
          <w:color w:val="auto"/>
          <w:sz w:val="24"/>
        </w:rPr>
        <w:t>（2）</w:t>
      </w:r>
      <w:r>
        <w:rPr>
          <w:rFonts w:hint="eastAsia"/>
          <w:color w:val="auto"/>
          <w:sz w:val="24"/>
        </w:rPr>
        <w:t>采购需求必须全部满足，不得有偏离，否则投标无效</w:t>
      </w:r>
      <w:r>
        <w:rPr>
          <w:color w:val="auto"/>
          <w:sz w:val="24"/>
        </w:rPr>
        <w:t>；</w:t>
      </w:r>
    </w:p>
    <w:p w14:paraId="6306EABD">
      <w:pPr>
        <w:adjustRightInd w:val="0"/>
        <w:snapToGrid w:val="0"/>
        <w:spacing w:before="50" w:line="360" w:lineRule="auto"/>
        <w:ind w:left="-88" w:leftChars="-42"/>
        <w:rPr>
          <w:rFonts w:hint="eastAsia"/>
          <w:color w:val="auto"/>
          <w:lang w:val="en-US" w:eastAsia="zh-CN"/>
        </w:rPr>
      </w:pPr>
      <w:r>
        <w:rPr>
          <w:color w:val="auto"/>
          <w:sz w:val="24"/>
        </w:rPr>
        <w:t>（3）如不提供此表，则视为投标人不满足招标文件第三章的所有条款要求，其投标无效；</w:t>
      </w:r>
      <w:bookmarkEnd w:id="2"/>
      <w:bookmarkEnd w:id="3"/>
    </w:p>
    <w:p w14:paraId="5D56B432">
      <w:pPr>
        <w:rPr>
          <w:color w:val="auto"/>
        </w:rPr>
      </w:pPr>
    </w:p>
    <w:p w14:paraId="4AD100B0"/>
    <w:p w14:paraId="2AECC303"/>
    <w:p w14:paraId="499BAFBB"/>
    <w:sectPr>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00000000000000000"/>
    <w:charset w:val="86"/>
    <w:family w:val="auto"/>
    <w:pitch w:val="default"/>
    <w:sig w:usb0="00000000" w:usb1="00000000" w:usb2="00000000" w:usb3="00000000" w:csb0="00040000" w:csb1="00000000"/>
  </w:font>
  <w:font w:name="微软雅黑">
    <w:panose1 w:val="020B0503020204020204"/>
    <w:charset w:val="7A"/>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1AA3BB">
    <w:pPr>
      <w:pStyle w:val="7"/>
      <w:rPr>
        <w:rFonts w:hint="eastAsia" w:ascii="仿宋_GB2312" w:eastAsia="仿宋_GB2312"/>
        <w:bCs/>
        <w:u w:val="single"/>
      </w:rPr>
    </w:pPr>
    <w:r>
      <w:rPr>
        <w:rFonts w:hint="eastAsia" w:ascii="仿宋_GB2312" w:eastAsia="仿宋_GB2312"/>
        <w:bCs/>
        <w:u w:val="single"/>
      </w:rPr>
      <w:t xml:space="preserve">                                                                                                 </w:t>
    </w:r>
  </w:p>
  <w:p w14:paraId="07C116A2">
    <w:pPr>
      <w:adjustRightInd w:val="0"/>
      <w:snapToGrid w:val="0"/>
      <w:spacing w:line="260" w:lineRule="atLeast"/>
      <w:ind w:left="482" w:hanging="482"/>
      <w:rPr>
        <w:rFonts w:hint="eastAsia" w:ascii="宋体" w:hAnsi="宋体"/>
        <w:kern w:val="0"/>
        <w:sz w:val="18"/>
        <w:szCs w:val="21"/>
      </w:rPr>
    </w:pPr>
  </w:p>
  <w:p w14:paraId="549C2307">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2308FC">
    <w:pPr>
      <w:pStyle w:val="7"/>
      <w:rPr>
        <w:rFonts w:hint="eastAsia" w:ascii="仿宋_GB2312" w:eastAsia="仿宋_GB2312"/>
        <w:bCs/>
        <w:u w:val="single"/>
      </w:rPr>
    </w:pPr>
    <w:r>
      <w:rPr>
        <w:rFonts w:hint="eastAsia" w:ascii="仿宋_GB2312" w:eastAsia="仿宋_GB2312"/>
        <w:bCs/>
        <w:u w:val="single"/>
      </w:rPr>
      <w:t xml:space="preserve">                                                                                                 </w:t>
    </w:r>
  </w:p>
  <w:p w14:paraId="28428F63">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8A693F">
    <w:pPr>
      <w:pStyle w:val="8"/>
      <w:ind w:left="8280" w:hanging="8280" w:hangingChars="4600"/>
      <w:jc w:val="both"/>
      <w:rPr>
        <w:rFonts w:hint="eastAsia"/>
      </w:rPr>
    </w:pPr>
    <w:r>
      <w:rPr>
        <w:rFonts w:hint="eastAsi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DC4034"/>
    <w:rsid w:val="07ED416D"/>
    <w:rsid w:val="18DC4034"/>
    <w:rsid w:val="76420A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6">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0"/>
    <w:pPr>
      <w:autoSpaceDE w:val="0"/>
      <w:autoSpaceDN w:val="0"/>
      <w:adjustRightInd w:val="0"/>
      <w:ind w:firstLine="420"/>
      <w:jc w:val="left"/>
    </w:pPr>
    <w:rPr>
      <w:kern w:val="0"/>
    </w:rPr>
  </w:style>
  <w:style w:type="paragraph" w:styleId="3">
    <w:name w:val="Body Text Indent"/>
    <w:basedOn w:val="1"/>
    <w:next w:val="1"/>
    <w:qFormat/>
    <w:uiPriority w:val="0"/>
    <w:pPr>
      <w:spacing w:after="120" w:line="400" w:lineRule="exact"/>
      <w:ind w:left="420" w:leftChars="200"/>
    </w:pPr>
    <w:rPr>
      <w:rFonts w:ascii="Calibri" w:hAnsi="Calibri"/>
    </w:rPr>
  </w:style>
  <w:style w:type="paragraph" w:styleId="4">
    <w:name w:val="Normal Indent"/>
    <w:basedOn w:val="1"/>
    <w:next w:val="5"/>
    <w:qFormat/>
    <w:uiPriority w:val="0"/>
    <w:pPr>
      <w:widowControl/>
      <w:ind w:firstLine="420"/>
      <w:jc w:val="left"/>
    </w:pPr>
    <w:rPr>
      <w:kern w:val="0"/>
      <w:sz w:val="20"/>
      <w:szCs w:val="20"/>
    </w:rPr>
  </w:style>
  <w:style w:type="paragraph" w:customStyle="1" w:styleId="5">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7">
    <w:name w:val="footer"/>
    <w:basedOn w:val="1"/>
    <w:qFormat/>
    <w:uiPriority w:val="0"/>
    <w:pPr>
      <w:tabs>
        <w:tab w:val="center" w:pos="4153"/>
        <w:tab w:val="right" w:pos="8306"/>
      </w:tabs>
      <w:snapToGrid w:val="0"/>
      <w:jc w:val="left"/>
    </w:pPr>
    <w:rPr>
      <w:kern w:val="0"/>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Body Text 2"/>
    <w:basedOn w:val="1"/>
    <w:qFormat/>
    <w:uiPriority w:val="0"/>
    <w:pPr>
      <w:spacing w:after="120" w:line="480" w:lineRule="auto"/>
    </w:pPr>
  </w:style>
  <w:style w:type="paragraph" w:styleId="10">
    <w:name w:val="Normal (Web)"/>
    <w:basedOn w:val="1"/>
    <w:qFormat/>
    <w:uiPriority w:val="0"/>
    <w:rPr>
      <w:sz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列出段落1"/>
    <w:basedOn w:val="1"/>
    <w:qFormat/>
    <w:uiPriority w:val="99"/>
    <w:pPr>
      <w:ind w:firstLine="420" w:firstLineChars="200"/>
    </w:pPr>
  </w:style>
  <w:style w:type="paragraph" w:customStyle="1" w:styleId="15">
    <w:name w:val="无间隔1"/>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5995</Words>
  <Characters>6470</Characters>
  <Lines>0</Lines>
  <Paragraphs>0</Paragraphs>
  <TotalTime>0</TotalTime>
  <ScaleCrop>false</ScaleCrop>
  <LinksUpToDate>false</LinksUpToDate>
  <CharactersWithSpaces>9350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2025-12-02T09:20:00Z</dcterms:created>
  <dc:creator>是小豹子</dc:creator>
  <cp:lastModifiedBy>是小豹子</cp:lastModifiedBy>
  <dcterms:modified xsi:type="dcterms:W3CDTF">2025-12-08T09:30:29Z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86764CF80FCB4DBFB74E620415BC14F1_11</vt:lpwstr>
  </property>
  <property fmtid="{D5CDD505-2E9C-101B-9397-08002B2CF9AE}" pid="4" name="KSOTemplateDocerSaveRecord">
    <vt:lpwstr>eyJoZGlkIjoiMjI0YzkyZjA4NDE5ZWViZGEyZTVjOTNhYTg4ZmYzYTciLCJ1c2VySWQiOiIzMDQ3NTQ4MDUifQ==</vt:lpwstr>
  </property>
</Properties>
</file>