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70FDA">
      <w:pPr>
        <w:pStyle w:val="5"/>
        <w:snapToGrid w:val="0"/>
        <w:jc w:val="center"/>
        <w:rPr>
          <w:rFonts w:ascii="Arial" w:hAnsi="Arial" w:eastAsia="方正小标宋简体" w:cs="Arial"/>
          <w:color w:val="auto"/>
          <w:sz w:val="72"/>
          <w:szCs w:val="72"/>
        </w:rPr>
      </w:pPr>
    </w:p>
    <w:p w14:paraId="272F3CF4">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F3C5AFA">
      <w:pPr>
        <w:pStyle w:val="5"/>
        <w:snapToGrid w:val="0"/>
        <w:jc w:val="center"/>
        <w:rPr>
          <w:rFonts w:ascii="Arial" w:hAnsi="Arial" w:eastAsia="方正小标宋简体" w:cs="Arial"/>
          <w:color w:val="auto"/>
          <w:sz w:val="72"/>
          <w:szCs w:val="72"/>
        </w:rPr>
      </w:pPr>
    </w:p>
    <w:p w14:paraId="5D4EB29F">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1DB9771F">
      <w:pPr>
        <w:pStyle w:val="5"/>
        <w:snapToGrid w:val="0"/>
        <w:jc w:val="center"/>
        <w:rPr>
          <w:rFonts w:hint="eastAsia" w:ascii="Arial" w:hAnsi="Arial" w:eastAsia="方正小标宋简体" w:cs="Arial"/>
          <w:color w:val="auto"/>
          <w:sz w:val="72"/>
          <w:szCs w:val="72"/>
          <w:lang w:eastAsia="zh-CN"/>
        </w:rPr>
      </w:pPr>
    </w:p>
    <w:p w14:paraId="23A3A9D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10648114">
      <w:pPr>
        <w:pStyle w:val="5"/>
        <w:snapToGrid w:val="0"/>
        <w:jc w:val="center"/>
        <w:rPr>
          <w:rFonts w:ascii="Arial" w:hAnsi="Arial" w:eastAsia="方正小标宋简体" w:cs="Arial"/>
          <w:color w:val="auto"/>
          <w:sz w:val="72"/>
          <w:szCs w:val="72"/>
        </w:rPr>
      </w:pPr>
    </w:p>
    <w:p w14:paraId="3B28D2E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2BD90E9E">
      <w:pPr>
        <w:pStyle w:val="5"/>
        <w:snapToGrid w:val="0"/>
        <w:jc w:val="center"/>
        <w:rPr>
          <w:rFonts w:ascii="Arial" w:hAnsi="Arial" w:eastAsia="方正小标宋简体" w:cs="Arial"/>
          <w:color w:val="auto"/>
          <w:sz w:val="72"/>
          <w:szCs w:val="72"/>
        </w:rPr>
      </w:pPr>
    </w:p>
    <w:p w14:paraId="3969EF4E">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3A3C8A8F">
      <w:pPr>
        <w:pStyle w:val="5"/>
        <w:snapToGrid w:val="0"/>
        <w:jc w:val="center"/>
        <w:rPr>
          <w:rFonts w:ascii="Arial" w:hAnsi="Arial" w:cs="Arial"/>
          <w:color w:val="auto"/>
          <w:sz w:val="32"/>
          <w:szCs w:val="32"/>
        </w:rPr>
      </w:pPr>
    </w:p>
    <w:p w14:paraId="7896263C">
      <w:pPr>
        <w:pStyle w:val="5"/>
        <w:snapToGrid w:val="0"/>
        <w:jc w:val="center"/>
        <w:rPr>
          <w:rFonts w:ascii="Arial" w:hAnsi="Arial" w:cs="Arial"/>
          <w:color w:val="auto"/>
          <w:sz w:val="32"/>
          <w:szCs w:val="32"/>
        </w:rPr>
      </w:pPr>
    </w:p>
    <w:p w14:paraId="587871AB">
      <w:pPr>
        <w:pStyle w:val="5"/>
        <w:snapToGrid w:val="0"/>
        <w:jc w:val="center"/>
        <w:rPr>
          <w:rFonts w:ascii="Arial" w:hAnsi="Arial" w:cs="Arial"/>
          <w:color w:val="auto"/>
          <w:sz w:val="32"/>
          <w:szCs w:val="32"/>
        </w:rPr>
      </w:pPr>
    </w:p>
    <w:p w14:paraId="6A416556">
      <w:pPr>
        <w:spacing w:line="360" w:lineRule="auto"/>
        <w:rPr>
          <w:rFonts w:hint="eastAsia"/>
          <w:bCs/>
          <w:color w:val="auto"/>
          <w:sz w:val="32"/>
          <w:szCs w:val="32"/>
        </w:rPr>
      </w:pPr>
    </w:p>
    <w:p w14:paraId="569BF80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室外蒸汽管道保温修复项目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4DF7545">
      <w:pPr>
        <w:spacing w:line="320" w:lineRule="exact"/>
        <w:jc w:val="left"/>
        <w:rPr>
          <w:color w:val="auto"/>
          <w:sz w:val="24"/>
        </w:rPr>
      </w:pPr>
    </w:p>
    <w:p w14:paraId="5185F4AE">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41DA6100">
      <w:pPr>
        <w:rPr>
          <w:rFonts w:hint="eastAsia" w:ascii="宋体" w:hAnsi="宋体" w:cs="宋体"/>
          <w:color w:val="auto"/>
          <w:sz w:val="44"/>
          <w:szCs w:val="44"/>
          <w:lang w:val="en-US" w:eastAsia="zh-CN"/>
        </w:rPr>
      </w:pPr>
    </w:p>
    <w:p w14:paraId="37BC9A96">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7472FD8F">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室外蒸汽管道保温修复项目</w:t>
      </w:r>
      <w:r>
        <w:rPr>
          <w:rFonts w:hint="eastAsia"/>
          <w:bCs/>
          <w:color w:val="auto"/>
          <w:sz w:val="28"/>
          <w:szCs w:val="28"/>
          <w:lang w:val="en-US" w:eastAsia="zh-CN"/>
        </w:rPr>
        <w:t>进行挂网</w:t>
      </w:r>
      <w:r>
        <w:rPr>
          <w:rFonts w:hint="eastAsia"/>
          <w:bCs/>
          <w:color w:val="auto"/>
          <w:sz w:val="28"/>
          <w:szCs w:val="28"/>
        </w:rPr>
        <w:t>，公告如下：</w:t>
      </w:r>
    </w:p>
    <w:p w14:paraId="42ACFE11">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11E1B7E7">
      <w:pPr>
        <w:pStyle w:val="5"/>
        <w:numPr>
          <w:ilvl w:val="0"/>
          <w:numId w:val="0"/>
        </w:numPr>
        <w:tabs>
          <w:tab w:val="left" w:pos="312"/>
        </w:tabs>
        <w:snapToGrid w:val="0"/>
        <w:spacing w:line="480" w:lineRule="auto"/>
        <w:ind w:firstLine="560" w:firstLineChars="200"/>
        <w:rPr>
          <w:rFonts w:hint="eastAsia" w:eastAsia="仿宋_GB2312"/>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室外蒸汽管道保温修复项目</w:t>
      </w:r>
    </w:p>
    <w:p w14:paraId="6F79B5D5">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13D96E05">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14:paraId="21D2B4DF">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14:paraId="0D6B8C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2C79DC7E">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1、具有独立法人地位，营业执照</w:t>
      </w:r>
      <w:r>
        <w:rPr>
          <w:rFonts w:hint="eastAsia" w:hAnsi="Times New Roman"/>
          <w:bCs/>
          <w:color w:val="auto"/>
          <w:sz w:val="28"/>
          <w:szCs w:val="28"/>
          <w:lang w:val="en-US" w:eastAsia="zh-CN"/>
        </w:rPr>
        <w:t>经营范围必须</w:t>
      </w:r>
      <w:r>
        <w:rPr>
          <w:rFonts w:hint="eastAsia"/>
          <w:bCs/>
          <w:color w:val="auto"/>
          <w:sz w:val="28"/>
          <w:szCs w:val="28"/>
          <w:lang w:val="en-US" w:eastAsia="zh-CN"/>
        </w:rPr>
        <w:t>具备的相关法定资质，必须具备压力管道安装资格</w:t>
      </w:r>
      <w:r>
        <w:rPr>
          <w:rFonts w:hint="eastAsia" w:hAnsi="Times New Roman"/>
          <w:bCs/>
          <w:color w:val="auto"/>
          <w:sz w:val="28"/>
          <w:szCs w:val="28"/>
          <w:lang w:val="en-US" w:eastAsia="zh-CN"/>
        </w:rPr>
        <w:t>；</w:t>
      </w:r>
    </w:p>
    <w:p w14:paraId="137E77EB">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1F5019A4">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C2CBA97">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840" w:firstLineChars="300"/>
        <w:textAlignment w:val="auto"/>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12DFD608">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14:paraId="5EB019E8">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14:paraId="6BD7B6BD">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226F4BE4">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1、开标时间：2026年1月</w:t>
      </w:r>
      <w:r>
        <w:rPr>
          <w:rFonts w:hint="eastAsia"/>
          <w:bCs/>
          <w:color w:val="auto"/>
          <w:sz w:val="28"/>
          <w:szCs w:val="28"/>
          <w:lang w:val="en-US" w:eastAsia="zh-CN"/>
        </w:rPr>
        <w:t>12</w:t>
      </w:r>
      <w:r>
        <w:rPr>
          <w:rFonts w:hint="eastAsia" w:hAnsi="Times New Roman"/>
          <w:bCs/>
          <w:color w:val="auto"/>
          <w:sz w:val="28"/>
          <w:szCs w:val="28"/>
          <w:lang w:val="en-US" w:eastAsia="zh-CN"/>
        </w:rPr>
        <w:t>日</w:t>
      </w:r>
      <w:r>
        <w:rPr>
          <w:rFonts w:hint="eastAsia"/>
          <w:bCs/>
          <w:color w:val="auto"/>
          <w:sz w:val="28"/>
          <w:szCs w:val="28"/>
          <w:lang w:val="en-US" w:eastAsia="zh-CN"/>
        </w:rPr>
        <w:t>9</w:t>
      </w:r>
      <w:r>
        <w:rPr>
          <w:rFonts w:hint="eastAsia" w:hAnsi="Times New Roman"/>
          <w:bCs/>
          <w:color w:val="auto"/>
          <w:sz w:val="28"/>
          <w:szCs w:val="28"/>
          <w:lang w:val="en-US" w:eastAsia="zh-CN"/>
        </w:rPr>
        <w:t>:</w:t>
      </w:r>
      <w:r>
        <w:rPr>
          <w:rFonts w:hint="eastAsia"/>
          <w:bCs/>
          <w:color w:val="auto"/>
          <w:sz w:val="28"/>
          <w:szCs w:val="28"/>
          <w:lang w:val="en-US" w:eastAsia="zh-CN"/>
        </w:rPr>
        <w:t>3</w:t>
      </w:r>
      <w:r>
        <w:rPr>
          <w:rFonts w:hint="eastAsia" w:hAnsi="Times New Roman"/>
          <w:bCs/>
          <w:color w:val="auto"/>
          <w:sz w:val="28"/>
          <w:szCs w:val="28"/>
          <w:lang w:val="en-US" w:eastAsia="zh-CN"/>
        </w:rPr>
        <w:t>0；</w:t>
      </w:r>
    </w:p>
    <w:p w14:paraId="521D3901">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default" w:hAnsi="Times New Roman"/>
          <w:bCs/>
          <w:color w:val="auto"/>
          <w:sz w:val="28"/>
          <w:szCs w:val="28"/>
          <w:lang w:val="en-US" w:eastAsia="zh-CN"/>
        </w:rPr>
      </w:pPr>
      <w:r>
        <w:rPr>
          <w:rFonts w:hint="eastAsia" w:hAnsi="Times New Roman"/>
          <w:bCs/>
          <w:color w:val="auto"/>
          <w:sz w:val="28"/>
          <w:szCs w:val="28"/>
          <w:lang w:val="en-US" w:eastAsia="zh-CN"/>
        </w:rPr>
        <w:t>2、开标地点;娄底市中心医院综合楼420室</w:t>
      </w:r>
      <w:bookmarkStart w:id="4" w:name="_GoBack"/>
      <w:bookmarkEnd w:id="4"/>
    </w:p>
    <w:p w14:paraId="104F4386">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五、招标人地址和联系方法及报名方式：</w:t>
      </w:r>
    </w:p>
    <w:p w14:paraId="4DFE7EEA">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1、招标人名称：娄底市中心医院</w:t>
      </w:r>
    </w:p>
    <w:p w14:paraId="4705E256">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2、联系人及联系方式：廖海星 15873871616</w:t>
      </w:r>
    </w:p>
    <w:p w14:paraId="06EA57CB">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hAnsi="Times New Roman"/>
          <w:bCs/>
          <w:color w:val="auto"/>
          <w:sz w:val="28"/>
          <w:szCs w:val="28"/>
          <w:lang w:val="en-US" w:eastAsia="zh-CN"/>
        </w:rPr>
      </w:pPr>
      <w:r>
        <w:rPr>
          <w:rFonts w:hint="eastAsia" w:hAnsi="Times New Roman"/>
          <w:bCs/>
          <w:color w:val="auto"/>
          <w:sz w:val="28"/>
          <w:szCs w:val="28"/>
          <w:lang w:val="en-US" w:eastAsia="zh-CN"/>
        </w:rPr>
        <w:t>3、招标人地址：娄底市长青中街51号</w:t>
      </w:r>
    </w:p>
    <w:p w14:paraId="69F4E78D">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default" w:hAnsi="Times New Roman"/>
          <w:bCs/>
          <w:color w:val="auto"/>
          <w:sz w:val="28"/>
          <w:szCs w:val="28"/>
          <w:lang w:val="en-US" w:eastAsia="zh-CN"/>
        </w:rPr>
      </w:pPr>
      <w:r>
        <w:rPr>
          <w:rFonts w:hint="eastAsia" w:hAnsi="Times New Roman"/>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11CE060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五、投标须知</w:t>
      </w:r>
    </w:p>
    <w:p w14:paraId="5EFB566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14:paraId="7D27E36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14:paraId="24086DA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14:paraId="04E81C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14:paraId="4EA2E81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14:paraId="0852B39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14:paraId="4E9744E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5FE69B2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14:paraId="50BEAD0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14:paraId="05FD6B2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14:paraId="51E987D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5BB33A5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17095CB7">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584D4F5C">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1E78FD8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5A9706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3"/>
        <w:gridCol w:w="2885"/>
      </w:tblGrid>
      <w:tr w14:paraId="2E04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5993" w:type="dxa"/>
            <w:tcBorders>
              <w:top w:val="single" w:color="auto" w:sz="4" w:space="0"/>
              <w:left w:val="single" w:color="auto" w:sz="4" w:space="0"/>
              <w:bottom w:val="single" w:color="auto" w:sz="4" w:space="0"/>
              <w:right w:val="single" w:color="auto" w:sz="4" w:space="0"/>
            </w:tcBorders>
            <w:vAlign w:val="center"/>
          </w:tcPr>
          <w:p w14:paraId="71EA879D">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项目名称</w:t>
            </w:r>
          </w:p>
        </w:tc>
        <w:tc>
          <w:tcPr>
            <w:tcW w:w="2885" w:type="dxa"/>
            <w:tcBorders>
              <w:top w:val="single" w:color="auto" w:sz="4" w:space="0"/>
              <w:left w:val="single" w:color="auto" w:sz="4" w:space="0"/>
              <w:bottom w:val="single" w:color="auto" w:sz="4" w:space="0"/>
              <w:right w:val="single" w:color="auto" w:sz="4" w:space="0"/>
            </w:tcBorders>
            <w:vAlign w:val="center"/>
          </w:tcPr>
          <w:p w14:paraId="6405D6D8">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控制价</w:t>
            </w:r>
          </w:p>
        </w:tc>
      </w:tr>
      <w:tr w14:paraId="7766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5993" w:type="dxa"/>
            <w:tcBorders>
              <w:top w:val="single" w:color="auto" w:sz="4" w:space="0"/>
              <w:left w:val="single" w:color="auto" w:sz="4" w:space="0"/>
              <w:bottom w:val="single" w:color="auto" w:sz="4" w:space="0"/>
              <w:right w:val="single" w:color="auto" w:sz="4" w:space="0"/>
            </w:tcBorders>
            <w:vAlign w:val="center"/>
          </w:tcPr>
          <w:p w14:paraId="66AA5A7B">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sz w:val="28"/>
                <w:szCs w:val="28"/>
                <w:lang w:val="en-US" w:eastAsia="zh-CN"/>
              </w:rPr>
              <w:t>室外蒸汽管道保温修复及保护铝板安装工程</w:t>
            </w:r>
          </w:p>
        </w:tc>
        <w:tc>
          <w:tcPr>
            <w:tcW w:w="2885" w:type="dxa"/>
            <w:tcBorders>
              <w:top w:val="single" w:color="auto" w:sz="4" w:space="0"/>
              <w:left w:val="single" w:color="auto" w:sz="4" w:space="0"/>
              <w:bottom w:val="single" w:color="auto" w:sz="4" w:space="0"/>
              <w:right w:val="single" w:color="auto" w:sz="4" w:space="0"/>
            </w:tcBorders>
            <w:vAlign w:val="center"/>
          </w:tcPr>
          <w:p w14:paraId="0D88435C">
            <w:pPr>
              <w:spacing w:line="360" w:lineRule="auto"/>
              <w:jc w:val="center"/>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219834.50元</w:t>
            </w:r>
          </w:p>
        </w:tc>
      </w:tr>
    </w:tbl>
    <w:p w14:paraId="659D4E81">
      <w:pPr>
        <w:keepNext w:val="0"/>
        <w:keepLines w:val="0"/>
        <w:pageBreakBefore w:val="0"/>
        <w:numPr>
          <w:ilvl w:val="0"/>
          <w:numId w:val="0"/>
        </w:numPr>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2.建设地点：娄底市中心医院院内</w:t>
      </w:r>
    </w:p>
    <w:p w14:paraId="474FBF2E">
      <w:pPr>
        <w:keepNext w:val="0"/>
        <w:keepLines w:val="0"/>
        <w:pageBreakBefore w:val="0"/>
        <w:numPr>
          <w:ilvl w:val="0"/>
          <w:numId w:val="0"/>
        </w:numPr>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3.工期要求：20个工作日内</w:t>
      </w:r>
    </w:p>
    <w:p w14:paraId="72F2D111">
      <w:pPr>
        <w:pStyle w:val="2"/>
        <w:keepNext w:val="0"/>
        <w:keepLines w:val="0"/>
        <w:pageBreakBefore w:val="0"/>
        <w:kinsoku/>
        <w:wordWrap/>
        <w:overflowPunct/>
        <w:topLinePunct w:val="0"/>
        <w:bidi w:val="0"/>
        <w:snapToGrid/>
        <w:spacing w:after="0" w:line="560" w:lineRule="exact"/>
        <w:ind w:left="0" w:leftChars="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4.项目分包：本项目不允许分包</w:t>
      </w:r>
    </w:p>
    <w:p w14:paraId="64317D17">
      <w:pPr>
        <w:pStyle w:val="2"/>
        <w:keepNext w:val="0"/>
        <w:keepLines w:val="0"/>
        <w:pageBreakBefore w:val="0"/>
        <w:kinsoku/>
        <w:wordWrap/>
        <w:overflowPunct/>
        <w:topLinePunct w:val="0"/>
        <w:bidi w:val="0"/>
        <w:snapToGrid/>
        <w:spacing w:after="0" w:line="560" w:lineRule="exact"/>
        <w:ind w:left="0" w:leftChars="0"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5.质保期：两年，自验收合格之日起计算，在质保期内，如工程出现质量问题，中标人应在收到招标人通知起2小时内赶到现场检修、维护，并在到达现场起3小时内完成修理并经过医院管理部门验收登记。</w:t>
      </w:r>
    </w:p>
    <w:p w14:paraId="01FF3570">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r>
        <w:rPr>
          <w:rFonts w:hint="eastAsia" w:ascii="仿宋_GB2312" w:eastAsia="仿宋_GB2312" w:cs="仿宋_GB2312"/>
          <w:bCs/>
          <w:color w:val="auto"/>
          <w:kern w:val="0"/>
          <w:sz w:val="28"/>
          <w:szCs w:val="28"/>
          <w:lang w:val="en-US" w:eastAsia="zh-CN" w:bidi="ar-SA"/>
        </w:rPr>
        <w:t>。</w:t>
      </w:r>
    </w:p>
    <w:p w14:paraId="55F46CC4">
      <w:pPr>
        <w:pStyle w:val="14"/>
        <w:keepNext w:val="0"/>
        <w:keepLines w:val="0"/>
        <w:pageBreakBefore w:val="0"/>
        <w:tabs>
          <w:tab w:val="left" w:pos="8100"/>
        </w:tabs>
        <w:kinsoku/>
        <w:wordWrap/>
        <w:overflowPunct/>
        <w:topLinePunct w:val="0"/>
        <w:bidi w:val="0"/>
        <w:snapToGrid/>
        <w:spacing w:line="560" w:lineRule="exact"/>
        <w:textAlignment w:val="auto"/>
        <w:rPr>
          <w:rFonts w:hint="eastAsia" w:ascii="仿宋" w:hAnsi="仿宋" w:eastAsia="仿宋" w:cs="仿宋"/>
          <w:color w:val="auto"/>
          <w:sz w:val="28"/>
          <w:szCs w:val="28"/>
          <w:highlight w:val="yellow"/>
        </w:rPr>
      </w:pPr>
      <w:r>
        <w:rPr>
          <w:rFonts w:hint="eastAsia" w:ascii="仿宋" w:hAnsi="仿宋" w:eastAsia="仿宋" w:cs="仿宋"/>
          <w:bCs/>
          <w:color w:val="auto"/>
          <w:kern w:val="0"/>
          <w:sz w:val="28"/>
          <w:szCs w:val="28"/>
          <w:lang w:val="en-US" w:eastAsia="zh-CN" w:bidi="ar-SA"/>
        </w:rPr>
        <w:t>1.具体内容：</w:t>
      </w:r>
      <w:r>
        <w:rPr>
          <w:rFonts w:hint="eastAsia" w:ascii="仿宋" w:hAnsi="仿宋" w:eastAsia="仿宋" w:cs="仿宋"/>
          <w:color w:val="auto"/>
          <w:sz w:val="28"/>
          <w:szCs w:val="28"/>
        </w:rPr>
        <w:t>住院部C区楼顶</w:t>
      </w:r>
      <w:r>
        <w:rPr>
          <w:rFonts w:hint="eastAsia" w:ascii="仿宋" w:hAnsi="仿宋" w:eastAsia="仿宋" w:cs="仿宋"/>
          <w:color w:val="auto"/>
          <w:sz w:val="28"/>
          <w:szCs w:val="28"/>
          <w:lang w:val="en-US" w:eastAsia="zh-CN"/>
        </w:rPr>
        <w:t>分汽缸</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门诊南面</w:t>
      </w:r>
      <w:r>
        <w:rPr>
          <w:rFonts w:hint="eastAsia" w:ascii="仿宋" w:hAnsi="仿宋" w:eastAsia="仿宋" w:cs="仿宋"/>
          <w:color w:val="auto"/>
          <w:sz w:val="28"/>
          <w:szCs w:val="28"/>
        </w:rPr>
        <w:t>连接入口</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户外露天部分约510米的</w:t>
      </w:r>
      <w:r>
        <w:rPr>
          <w:rFonts w:hint="eastAsia" w:ascii="仿宋" w:hAnsi="仿宋" w:eastAsia="仿宋" w:cs="仿宋"/>
          <w:color w:val="auto"/>
          <w:sz w:val="28"/>
          <w:szCs w:val="28"/>
        </w:rPr>
        <w:t>蒸汽管道</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分汽缸及所有阀门、弯头、三通等管件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供汽管直径DN159，回水管直径DN108；分别包裹厚度80MM玻璃棉保温，最外层包覆防水铝箔），进行保温修复及保护铝板</w:t>
      </w:r>
      <w:r>
        <w:rPr>
          <w:rFonts w:hint="eastAsia" w:ascii="仿宋" w:hAnsi="仿宋" w:eastAsia="仿宋" w:cs="仿宋"/>
          <w:color w:val="auto"/>
          <w:sz w:val="28"/>
          <w:szCs w:val="28"/>
        </w:rPr>
        <w:t>安装（具体以双方确认的施工图为准）。</w:t>
      </w:r>
    </w:p>
    <w:p w14:paraId="5B8B5A08">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2.</w:t>
      </w:r>
      <w:r>
        <w:rPr>
          <w:rFonts w:hint="eastAsia" w:ascii="仿宋" w:hAnsi="仿宋" w:eastAsia="仿宋" w:cs="仿宋"/>
          <w:color w:val="auto"/>
          <w:sz w:val="28"/>
          <w:szCs w:val="28"/>
        </w:rPr>
        <w:t>保温棉要求：保温材料需满足密度48±10%的标准，能够在最高300℃的温度下使用。导热系数需在常温25℃时≤0.034W/ML，在平均温度250℃时≤0.058W/ML，且憎水率必须≥99%。保护外壳需使用0.</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mm厚的金属铝板，以确保保温材料的持久性和防水性能。</w:t>
      </w:r>
    </w:p>
    <w:p w14:paraId="73BB0F23">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3.质量标准：所有蒸汽管道保温及配件必须符合国家相关质量标准，中标人需提供生产厂家的产品质量证明书及合格证，以证明材料的合格性。</w:t>
      </w:r>
    </w:p>
    <w:p w14:paraId="2CD90576">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 材料采购与审批：中标人需熟悉图纸，并根据图纸及工艺要求提前制定材料采购计划（计划中需包括材料品牌、型号、规格等）。材料到达现场时，需通知招标人进行品牌和数量的验收确认。确认合格后，材料方可放置于招标人指定区域。施工所需的所有材料由中标人自行保管，如有丢失、损坏或坠落等情况，由中标人承担全部责任。</w:t>
      </w:r>
    </w:p>
    <w:p w14:paraId="49923D41">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 施工监管与验收：施工过程必须接受招标人的全程监管。完工后，由双方组织验收，并承担相关检验检测费用。验收合格后，中标人需向招标人提供以中标人名义开具的与合同价款金额对应的增值税普通发票。</w:t>
      </w:r>
    </w:p>
    <w:p w14:paraId="7D6B5B4C">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 设计与施工规范：施工需严格按照设计图进行。如在施工过程中发现图纸设计问题，应及时向招标人现场管理人员汇报，不得擅自更改设计。中标人需对已完工的各分项工程进行自检自查，每个流水段施工完毕后需做到工完场清，并做好成品保护工作。施工过程中因停水停电、下雨、机械维修及其他不可抗力因素造成的误工，额外费用由中标人承担。施工所需的所有设施设备由中标人自行提供并保管，中标人需对施工工人进行安全技术交底，所有工人需为熟练工，特殊工种需持证上岗，并将有效证明交招标人存档。施工期间工人的食宿由中标人负责并承担相关费用，所有工农矛盾也由中标人负责处理。</w:t>
      </w:r>
    </w:p>
    <w:p w14:paraId="637E45A2">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 验收与交付：中标人完成安装任务后，需联系招标人进行验收并书面通知招标人全程参与。验收合格后，项目方可交付招标人使用。如验收不合格，中标人需无条件返工，直至验收合格，返工所产生的所有损失和费用由中标人自行承担。</w:t>
      </w:r>
    </w:p>
    <w:p w14:paraId="78680958">
      <w:pPr>
        <w:pStyle w:val="14"/>
        <w:pageBreakBefore w:val="0"/>
        <w:tabs>
          <w:tab w:val="left" w:pos="8100"/>
        </w:tabs>
        <w:kinsoku/>
        <w:wordWrap/>
        <w:overflowPunct/>
        <w:topLinePunct w:val="0"/>
        <w:bidi w:val="0"/>
        <w:snapToGrid/>
        <w:spacing w:line="520" w:lineRule="exact"/>
        <w:rPr>
          <w:rFonts w:hint="eastAsia" w:ascii="仿宋" w:hAnsi="仿宋" w:eastAsia="仿宋" w:cs="仿宋"/>
          <w:color w:val="auto"/>
          <w:sz w:val="28"/>
          <w:szCs w:val="28"/>
        </w:rPr>
      </w:pPr>
      <w:r>
        <w:rPr>
          <w:rFonts w:hint="eastAsia" w:ascii="仿宋" w:hAnsi="仿宋" w:eastAsia="仿宋" w:cs="仿宋"/>
          <w:bCs/>
          <w:color w:val="auto"/>
          <w:kern w:val="0"/>
          <w:sz w:val="28"/>
          <w:szCs w:val="28"/>
          <w:highlight w:val="none"/>
          <w:lang w:val="en-US" w:eastAsia="zh-CN" w:bidi="ar-SA"/>
        </w:rPr>
        <w:t>8.付款方式：</w:t>
      </w:r>
      <w:r>
        <w:rPr>
          <w:rFonts w:hint="eastAsia" w:ascii="仿宋" w:hAnsi="仿宋" w:eastAsia="仿宋" w:cs="仿宋"/>
          <w:bCs/>
          <w:color w:val="auto"/>
          <w:kern w:val="0"/>
          <w:sz w:val="28"/>
          <w:szCs w:val="28"/>
          <w:lang w:val="en-US" w:eastAsia="zh-CN" w:bidi="ar-SA"/>
        </w:rPr>
        <w:t>安装完毕验收合格，中标人向院方提供以中标人名义开具的与合同价款金额对应的增值税普通发票；院方自收到发票之日起30个工作日内，付款80%；审计完毕支付至总合同金额的97%；余款3%作为质保金，在竣工验收合格后满一年且无质量遗留问题之日起7个工作日内，由院方一次性无息退还给中标人。中标人如未按合同约定提供增值税普通发票，院方有权顺延付款，由此产生的一切责任均由中标人自行承担。</w:t>
      </w:r>
    </w:p>
    <w:p w14:paraId="7174ADB1">
      <w:pPr>
        <w:keepNext w:val="0"/>
        <w:keepLines w:val="0"/>
        <w:pageBreakBefore w:val="0"/>
        <w:kinsoku/>
        <w:wordWrap/>
        <w:overflowPunct/>
        <w:topLinePunct w:val="0"/>
        <w:bidi w:val="0"/>
        <w:snapToGrid/>
        <w:spacing w:line="560" w:lineRule="exact"/>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bCs/>
          <w:color w:val="auto"/>
          <w:kern w:val="0"/>
          <w:sz w:val="28"/>
          <w:szCs w:val="28"/>
          <w:lang w:val="en-US" w:eastAsia="zh-CN" w:bidi="ar-SA"/>
        </w:rPr>
        <w:t>9.中标人须在施工现场切实履行安全注意义务，制定并落实完善的安全防范预案，严格执行各项必要的安全防护措施。在合同履行期间，因本项目所发生的一切安全事故，无论涉及招标人、中标人及其指派履行合同的相关人员，抑或第三方的人身伤害与财产损失，均由中标人全面负责妥善处理，并承担由此产生的一切费用及全部法律责任。</w:t>
      </w:r>
    </w:p>
    <w:p w14:paraId="25BC65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353B54F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CC6A62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18F118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25B49E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5CCF85B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731E92B8">
      <w:pPr>
        <w:pStyle w:val="2"/>
        <w:ind w:left="0" w:leftChars="0"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56EDFEB5">
      <w:pPr>
        <w:pStyle w:val="4"/>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四：其他说明</w:t>
      </w:r>
    </w:p>
    <w:p w14:paraId="0E010C97">
      <w:pPr>
        <w:pStyle w:val="5"/>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图纸及造价表见附件。</w:t>
      </w:r>
    </w:p>
    <w:p w14:paraId="48DB651F">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五、合同</w:t>
      </w:r>
      <w:r>
        <w:rPr>
          <w:rFonts w:hint="eastAsia" w:ascii="仿宋" w:hAnsi="仿宋" w:eastAsia="仿宋" w:cs="仿宋"/>
          <w:b w:val="0"/>
          <w:bCs/>
          <w:color w:val="auto"/>
          <w:sz w:val="28"/>
          <w:szCs w:val="28"/>
        </w:rPr>
        <w:t xml:space="preserve"> </w:t>
      </w:r>
    </w:p>
    <w:p w14:paraId="1C98385D">
      <w:pPr>
        <w:pStyle w:val="6"/>
        <w:keepNext/>
        <w:keepLines/>
        <w:pageBreakBefore w:val="0"/>
        <w:widowControl w:val="0"/>
        <w:kinsoku/>
        <w:wordWrap/>
        <w:overflowPunct/>
        <w:topLinePunct w:val="0"/>
        <w:autoSpaceDE/>
        <w:autoSpaceDN/>
        <w:bidi w:val="0"/>
        <w:adjustRightInd w:val="0"/>
        <w:snapToGrid/>
        <w:spacing w:before="0" w:after="0" w:line="520" w:lineRule="exact"/>
        <w:jc w:val="center"/>
        <w:textAlignment w:val="baseline"/>
        <w:rPr>
          <w:rFonts w:hint="default" w:ascii="仿宋" w:hAnsi="仿宋" w:eastAsia="仿宋" w:cs="仿宋"/>
          <w:b w:val="0"/>
          <w:color w:val="auto"/>
          <w:kern w:val="2"/>
          <w:sz w:val="28"/>
          <w:szCs w:val="28"/>
          <w:highlight w:val="none"/>
          <w:lang w:val="en-US" w:eastAsia="zh-CN" w:bidi="ar-SA"/>
        </w:rPr>
      </w:pPr>
      <w:r>
        <w:rPr>
          <w:rFonts w:hint="eastAsia" w:ascii="仿宋" w:hAnsi="仿宋" w:eastAsia="仿宋" w:cs="仿宋"/>
          <w:b w:val="0"/>
          <w:bCs/>
          <w:color w:val="auto"/>
          <w:sz w:val="28"/>
          <w:szCs w:val="28"/>
        </w:rPr>
        <w:t xml:space="preserve">        </w:t>
      </w:r>
      <w:r>
        <w:rPr>
          <w:rFonts w:hint="eastAsia" w:ascii="仿宋" w:hAnsi="仿宋" w:eastAsia="仿宋" w:cs="仿宋"/>
          <w:b w:val="0"/>
          <w:color w:val="auto"/>
          <w:kern w:val="2"/>
          <w:sz w:val="28"/>
          <w:szCs w:val="28"/>
          <w:highlight w:val="none"/>
          <w:lang w:val="en-US" w:eastAsia="zh-CN" w:bidi="ar-SA"/>
        </w:rPr>
        <w:t xml:space="preserve">                                           合同编号：</w:t>
      </w:r>
    </w:p>
    <w:p w14:paraId="6E50ABA7">
      <w:pPr>
        <w:pStyle w:val="6"/>
        <w:keepNext/>
        <w:keepLines/>
        <w:pageBreakBefore w:val="0"/>
        <w:widowControl w:val="0"/>
        <w:kinsoku/>
        <w:wordWrap/>
        <w:overflowPunct/>
        <w:topLinePunct w:val="0"/>
        <w:autoSpaceDE/>
        <w:autoSpaceDN/>
        <w:bidi w:val="0"/>
        <w:adjustRightInd w:val="0"/>
        <w:snapToGrid/>
        <w:spacing w:before="0" w:after="0" w:line="560" w:lineRule="exact"/>
        <w:jc w:val="center"/>
        <w:textAlignment w:val="baseline"/>
        <w:rPr>
          <w:rFonts w:hint="eastAsia"/>
          <w:color w:val="auto"/>
          <w:lang w:val="en-US" w:eastAsia="zh-CN"/>
        </w:rPr>
      </w:pPr>
      <w:r>
        <w:rPr>
          <w:rFonts w:hint="eastAsia"/>
          <w:color w:val="auto"/>
          <w:lang w:val="en-US" w:eastAsia="zh-CN"/>
        </w:rPr>
        <w:t>娄底市</w:t>
      </w:r>
      <w:r>
        <w:rPr>
          <w:rFonts w:hint="eastAsia"/>
          <w:color w:val="auto"/>
        </w:rPr>
        <w:t>中心医院</w:t>
      </w:r>
      <w:r>
        <w:rPr>
          <w:rFonts w:hint="eastAsia"/>
          <w:color w:val="auto"/>
          <w:lang w:val="en-US" w:eastAsia="zh-CN"/>
        </w:rPr>
        <w:t>室外蒸汽管道保温修复</w:t>
      </w:r>
    </w:p>
    <w:p w14:paraId="6212AA70">
      <w:pPr>
        <w:pStyle w:val="6"/>
        <w:keepNext/>
        <w:keepLines/>
        <w:pageBreakBefore w:val="0"/>
        <w:widowControl w:val="0"/>
        <w:kinsoku/>
        <w:wordWrap/>
        <w:overflowPunct/>
        <w:topLinePunct w:val="0"/>
        <w:autoSpaceDE/>
        <w:autoSpaceDN/>
        <w:bidi w:val="0"/>
        <w:adjustRightInd w:val="0"/>
        <w:snapToGrid/>
        <w:spacing w:before="0" w:after="0" w:line="560" w:lineRule="exact"/>
        <w:jc w:val="center"/>
        <w:textAlignment w:val="baseline"/>
        <w:rPr>
          <w:rFonts w:hint="default"/>
          <w:color w:val="auto"/>
          <w:lang w:val="en-US" w:eastAsia="zh-CN"/>
        </w:rPr>
      </w:pPr>
      <w:r>
        <w:rPr>
          <w:rFonts w:hint="eastAsia"/>
          <w:color w:val="auto"/>
          <w:lang w:val="en-US" w:eastAsia="zh-CN"/>
        </w:rPr>
        <w:t>及保护铝板安装工程合同</w:t>
      </w:r>
    </w:p>
    <w:p w14:paraId="4F4B8ADC">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bCs/>
          <w:color w:val="auto"/>
          <w:sz w:val="28"/>
          <w:szCs w:val="28"/>
          <w:highlight w:val="none"/>
          <w:lang w:val="en-US" w:eastAsia="zh-CN"/>
        </w:rPr>
      </w:pPr>
    </w:p>
    <w:p w14:paraId="18610B2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甲方：</w:t>
      </w:r>
      <w:r>
        <w:rPr>
          <w:rFonts w:hint="eastAsia" w:ascii="仿宋" w:hAnsi="仿宋" w:eastAsia="仿宋" w:cs="仿宋"/>
          <w:color w:val="auto"/>
          <w:sz w:val="28"/>
          <w:szCs w:val="28"/>
          <w:highlight w:val="none"/>
          <w:lang w:val="en-US" w:eastAsia="zh-CN"/>
        </w:rPr>
        <w:t>娄底市中心医院</w:t>
      </w:r>
    </w:p>
    <w:p w14:paraId="79930D7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法定代表人：杨吉军</w:t>
      </w:r>
    </w:p>
    <w:p w14:paraId="58A8B508">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地址：湖南省娄底市娄星区长青中街51号</w:t>
      </w:r>
    </w:p>
    <w:p w14:paraId="3679404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乙方：</w:t>
      </w:r>
    </w:p>
    <w:p w14:paraId="718013E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w:t>
      </w:r>
    </w:p>
    <w:p w14:paraId="06974E91">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w:t>
      </w:r>
    </w:p>
    <w:p w14:paraId="678EF22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w:t>
      </w:r>
    </w:p>
    <w:p w14:paraId="2E325A42">
      <w:pPr>
        <w:pStyle w:val="6"/>
        <w:keepNext/>
        <w:keepLines/>
        <w:pageBreakBefore w:val="0"/>
        <w:widowControl w:val="0"/>
        <w:kinsoku/>
        <w:wordWrap/>
        <w:overflowPunct/>
        <w:topLinePunct w:val="0"/>
        <w:autoSpaceDE/>
        <w:autoSpaceDN/>
        <w:bidi w:val="0"/>
        <w:adjustRightInd w:val="0"/>
        <w:snapToGrid/>
        <w:spacing w:before="0" w:after="0" w:line="480" w:lineRule="exact"/>
        <w:ind w:firstLine="560" w:firstLineChars="200"/>
        <w:jc w:val="left"/>
        <w:textAlignment w:val="baseline"/>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甲方通过（□</w:t>
      </w:r>
      <w:r>
        <w:rPr>
          <w:rFonts w:hint="eastAsia" w:ascii="仿宋" w:hAnsi="仿宋" w:eastAsia="仿宋" w:cs="仿宋"/>
          <w:b w:val="0"/>
          <w:bCs/>
          <w:color w:val="auto"/>
          <w:sz w:val="28"/>
          <w:szCs w:val="28"/>
          <w:highlight w:val="none"/>
          <w:u w:val="none"/>
          <w:lang w:val="en-US" w:eastAsia="zh-CN"/>
        </w:rPr>
        <w:t>公开招标</w:t>
      </w:r>
      <w:r>
        <w:rPr>
          <w:rFonts w:hint="eastAsia" w:ascii="仿宋" w:hAnsi="仿宋" w:eastAsia="仿宋" w:cs="仿宋"/>
          <w:b w:val="0"/>
          <w:bCs/>
          <w:color w:val="auto"/>
          <w:sz w:val="28"/>
          <w:szCs w:val="28"/>
          <w:highlight w:val="none"/>
          <w:lang w:val="en-US" w:eastAsia="zh-CN"/>
        </w:rPr>
        <w:t>☑医院公开挂网□医院院内议价）</w:t>
      </w:r>
      <w:r>
        <w:rPr>
          <w:rFonts w:hint="eastAsia" w:ascii="仿宋" w:hAnsi="仿宋" w:eastAsia="仿宋" w:cs="仿宋"/>
          <w:b w:val="0"/>
          <w:bCs/>
          <w:color w:val="auto"/>
          <w:sz w:val="28"/>
          <w:szCs w:val="28"/>
          <w:highlight w:val="none"/>
          <w:u w:val="none"/>
          <w:lang w:val="en-US" w:eastAsia="zh-CN"/>
        </w:rPr>
        <w:t>方式</w:t>
      </w:r>
      <w:r>
        <w:rPr>
          <w:rFonts w:hint="eastAsia" w:ascii="仿宋" w:hAnsi="仿宋" w:eastAsia="仿宋" w:cs="仿宋"/>
          <w:b w:val="0"/>
          <w:bCs/>
          <w:color w:val="auto"/>
          <w:sz w:val="28"/>
          <w:szCs w:val="28"/>
          <w:highlight w:val="none"/>
          <w:lang w:val="en-US" w:eastAsia="zh-CN"/>
        </w:rPr>
        <w:t>采购</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u w:val="single"/>
          <w:lang w:val="en-US" w:eastAsia="zh-CN"/>
        </w:rPr>
        <w:t>娄底市</w:t>
      </w:r>
      <w:r>
        <w:rPr>
          <w:rFonts w:hint="eastAsia" w:ascii="仿宋" w:hAnsi="仿宋" w:eastAsia="仿宋" w:cs="仿宋"/>
          <w:b w:val="0"/>
          <w:bCs/>
          <w:color w:val="auto"/>
          <w:sz w:val="28"/>
          <w:szCs w:val="28"/>
          <w:u w:val="single"/>
        </w:rPr>
        <w:t>中心医院</w:t>
      </w:r>
      <w:r>
        <w:rPr>
          <w:rFonts w:hint="eastAsia" w:ascii="仿宋" w:hAnsi="仿宋" w:eastAsia="仿宋" w:cs="仿宋"/>
          <w:b w:val="0"/>
          <w:bCs/>
          <w:color w:val="auto"/>
          <w:sz w:val="28"/>
          <w:szCs w:val="28"/>
          <w:u w:val="single"/>
          <w:lang w:val="en-US" w:eastAsia="zh-CN"/>
        </w:rPr>
        <w:t>室外蒸汽管道保温修复及保护铝板安装工程</w:t>
      </w:r>
      <w:r>
        <w:rPr>
          <w:rFonts w:hint="eastAsia" w:ascii="仿宋" w:hAnsi="仿宋" w:eastAsia="仿宋" w:cs="仿宋"/>
          <w:b w:val="0"/>
          <w:bCs/>
          <w:color w:val="auto"/>
          <w:sz w:val="28"/>
          <w:szCs w:val="28"/>
          <w:highlight w:val="none"/>
          <w:u w:val="single"/>
          <w:lang w:val="en-US" w:eastAsia="zh-CN"/>
        </w:rPr>
        <w:t>，</w:t>
      </w:r>
      <w:r>
        <w:rPr>
          <w:rFonts w:hint="eastAsia" w:ascii="仿宋" w:hAnsi="仿宋" w:eastAsia="仿宋" w:cs="仿宋"/>
          <w:b w:val="0"/>
          <w:bCs/>
          <w:color w:val="auto"/>
          <w:sz w:val="28"/>
          <w:szCs w:val="28"/>
          <w:highlight w:val="none"/>
          <w:lang w:val="en-US" w:eastAsia="zh-CN"/>
        </w:rPr>
        <w:t>乙方为中标/中选供应商，</w:t>
      </w:r>
      <w:r>
        <w:rPr>
          <w:rFonts w:hint="eastAsia" w:ascii="仿宋" w:hAnsi="仿宋" w:eastAsia="仿宋" w:cs="仿宋"/>
          <w:b w:val="0"/>
          <w:bCs/>
          <w:color w:val="auto"/>
          <w:sz w:val="28"/>
          <w:szCs w:val="28"/>
          <w:highlight w:val="none"/>
          <w:u w:val="none"/>
          <w:lang w:val="en-US" w:eastAsia="zh-CN"/>
        </w:rPr>
        <w:t>项目编号：</w:t>
      </w:r>
      <w:r>
        <w:rPr>
          <w:rFonts w:hint="eastAsia" w:ascii="仿宋" w:hAnsi="仿宋" w:eastAsia="仿宋" w:cs="仿宋"/>
          <w:b w:val="0"/>
          <w:bCs/>
          <w:color w:val="auto"/>
          <w:sz w:val="28"/>
          <w:szCs w:val="28"/>
          <w:highlight w:val="none"/>
          <w:u w:val="single"/>
          <w:lang w:val="en-US" w:eastAsia="zh-CN"/>
        </w:rPr>
        <w:t xml:space="preserve"> / </w:t>
      </w:r>
      <w:r>
        <w:rPr>
          <w:rFonts w:hint="eastAsia" w:ascii="仿宋" w:hAnsi="仿宋" w:eastAsia="仿宋" w:cs="仿宋"/>
          <w:b w:val="0"/>
          <w:bCs/>
          <w:color w:val="auto"/>
          <w:sz w:val="28"/>
          <w:szCs w:val="28"/>
          <w:highlight w:val="none"/>
          <w:lang w:val="en-US" w:eastAsia="zh-CN"/>
        </w:rPr>
        <w:t>。根据《中华人民共和国民法典》《中华人民共和国政府采购法》等相关法律规定，甲乙双方在采购项目确定的基础上，就采购</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u w:val="single"/>
          <w:lang w:val="en-US" w:eastAsia="zh-CN"/>
        </w:rPr>
        <w:t>娄底市</w:t>
      </w:r>
      <w:r>
        <w:rPr>
          <w:rFonts w:hint="eastAsia" w:ascii="仿宋" w:hAnsi="仿宋" w:eastAsia="仿宋" w:cs="仿宋"/>
          <w:b w:val="0"/>
          <w:bCs/>
          <w:color w:val="auto"/>
          <w:sz w:val="28"/>
          <w:szCs w:val="28"/>
          <w:u w:val="single"/>
        </w:rPr>
        <w:t>中心医院</w:t>
      </w:r>
      <w:r>
        <w:rPr>
          <w:rFonts w:hint="eastAsia" w:ascii="仿宋" w:hAnsi="仿宋" w:eastAsia="仿宋" w:cs="仿宋"/>
          <w:b w:val="0"/>
          <w:bCs/>
          <w:color w:val="auto"/>
          <w:sz w:val="28"/>
          <w:szCs w:val="28"/>
          <w:u w:val="single"/>
          <w:lang w:val="en-US" w:eastAsia="zh-CN"/>
        </w:rPr>
        <w:t>室外蒸汽管道保温修复及保护铝板安装工程</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highlight w:val="none"/>
          <w:u w:val="none"/>
          <w:lang w:val="en-US" w:eastAsia="zh-CN"/>
        </w:rPr>
        <w:t>相关</w:t>
      </w:r>
      <w:r>
        <w:rPr>
          <w:rFonts w:hint="eastAsia" w:ascii="仿宋" w:hAnsi="仿宋" w:eastAsia="仿宋" w:cs="仿宋"/>
          <w:b w:val="0"/>
          <w:bCs/>
          <w:color w:val="auto"/>
          <w:sz w:val="28"/>
          <w:szCs w:val="28"/>
          <w:highlight w:val="none"/>
          <w:lang w:val="en-US" w:eastAsia="zh-CN"/>
        </w:rPr>
        <w:t>事宜平等、自愿、公平、诚信协商，达成一致，特订立本合同，以资共同遵守。</w:t>
      </w:r>
    </w:p>
    <w:p w14:paraId="340D5224">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第一条 项目名称 </w:t>
      </w:r>
    </w:p>
    <w:p w14:paraId="376E67C1">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b w:val="0"/>
          <w:bCs/>
          <w:color w:val="auto"/>
          <w:sz w:val="28"/>
          <w:szCs w:val="28"/>
          <w:u w:val="none"/>
          <w:lang w:val="en-US" w:eastAsia="zh-CN"/>
        </w:rPr>
      </w:pPr>
      <w:r>
        <w:rPr>
          <w:rFonts w:hint="eastAsia" w:ascii="仿宋" w:hAnsi="仿宋" w:eastAsia="仿宋" w:cs="仿宋"/>
          <w:b w:val="0"/>
          <w:bCs/>
          <w:color w:val="auto"/>
          <w:sz w:val="28"/>
          <w:szCs w:val="28"/>
          <w:u w:val="none"/>
          <w:lang w:val="en-US" w:eastAsia="zh-CN"/>
        </w:rPr>
        <w:t>娄底市</w:t>
      </w:r>
      <w:r>
        <w:rPr>
          <w:rFonts w:hint="eastAsia" w:ascii="仿宋" w:hAnsi="仿宋" w:eastAsia="仿宋" w:cs="仿宋"/>
          <w:b w:val="0"/>
          <w:bCs/>
          <w:color w:val="auto"/>
          <w:sz w:val="28"/>
          <w:szCs w:val="28"/>
          <w:u w:val="none"/>
        </w:rPr>
        <w:t>中心医院</w:t>
      </w:r>
      <w:r>
        <w:rPr>
          <w:rFonts w:hint="eastAsia" w:ascii="仿宋" w:hAnsi="仿宋" w:eastAsia="仿宋" w:cs="仿宋"/>
          <w:b w:val="0"/>
          <w:bCs/>
          <w:color w:val="auto"/>
          <w:sz w:val="28"/>
          <w:szCs w:val="28"/>
          <w:u w:val="none"/>
          <w:lang w:val="en-US" w:eastAsia="zh-CN"/>
        </w:rPr>
        <w:t>室外蒸汽管道保温修复及保护铝板安装工程。</w:t>
      </w:r>
    </w:p>
    <w:p w14:paraId="07B31519">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施工范围、内容</w:t>
      </w:r>
    </w:p>
    <w:p w14:paraId="17BB57E2">
      <w:pPr>
        <w:pStyle w:val="14"/>
        <w:keepNext w:val="0"/>
        <w:keepLines w:val="0"/>
        <w:pageBreakBefore w:val="0"/>
        <w:widowControl w:val="0"/>
        <w:tabs>
          <w:tab w:val="left" w:pos="8100"/>
        </w:tabs>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rPr>
        <w:t>住院部C区楼顶</w:t>
      </w:r>
      <w:r>
        <w:rPr>
          <w:rFonts w:hint="eastAsia" w:ascii="仿宋" w:hAnsi="仿宋" w:eastAsia="仿宋" w:cs="仿宋"/>
          <w:color w:val="auto"/>
          <w:sz w:val="28"/>
          <w:szCs w:val="28"/>
          <w:lang w:val="en-US" w:eastAsia="zh-CN"/>
        </w:rPr>
        <w:t>分汽缸</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门诊南面</w:t>
      </w:r>
      <w:r>
        <w:rPr>
          <w:rFonts w:hint="eastAsia" w:ascii="仿宋" w:hAnsi="仿宋" w:eastAsia="仿宋" w:cs="仿宋"/>
          <w:color w:val="auto"/>
          <w:sz w:val="28"/>
          <w:szCs w:val="28"/>
        </w:rPr>
        <w:t>连接入口</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户外露天部分约510米的</w:t>
      </w:r>
      <w:r>
        <w:rPr>
          <w:rFonts w:hint="eastAsia" w:ascii="仿宋" w:hAnsi="仿宋" w:eastAsia="仿宋" w:cs="仿宋"/>
          <w:color w:val="auto"/>
          <w:sz w:val="28"/>
          <w:szCs w:val="28"/>
        </w:rPr>
        <w:t>蒸汽管道</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分汽缸及所有阀门、弯头、三通等管件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供汽管直径DN159，回水管直径DN108；分别包裹厚度80MM玻璃棉保温，最外层包覆防水铝箔），进行保温修复及保护铝板</w:t>
      </w:r>
      <w:r>
        <w:rPr>
          <w:rFonts w:hint="eastAsia" w:ascii="仿宋" w:hAnsi="仿宋" w:eastAsia="仿宋" w:cs="仿宋"/>
          <w:color w:val="auto"/>
          <w:sz w:val="28"/>
          <w:szCs w:val="28"/>
        </w:rPr>
        <w:t>安装（具体以双方确认的施工图为准）。</w:t>
      </w:r>
    </w:p>
    <w:p w14:paraId="29C53BC3">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color w:val="auto"/>
          <w:sz w:val="28"/>
          <w:szCs w:val="28"/>
        </w:rPr>
      </w:pPr>
      <w:r>
        <w:rPr>
          <w:rFonts w:hint="eastAsia" w:ascii="仿宋" w:hAnsi="仿宋" w:eastAsia="仿宋" w:cs="仿宋"/>
          <w:b/>
          <w:bCs/>
          <w:color w:val="auto"/>
          <w:sz w:val="28"/>
          <w:szCs w:val="28"/>
        </w:rPr>
        <w:t>第三条 工期</w:t>
      </w:r>
    </w:p>
    <w:p w14:paraId="1F1C961D">
      <w:pPr>
        <w:pageBreakBefore w:val="0"/>
        <w:widowControl w:val="0"/>
        <w:kinsoku/>
        <w:wordWrap/>
        <w:overflowPunct/>
        <w:topLinePunct w:val="0"/>
        <w:bidi w:val="0"/>
        <w:snapToGrid/>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工期为</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个工作日，自本合同签订之日起至</w:t>
      </w:r>
      <w:r>
        <w:rPr>
          <w:rFonts w:hint="eastAsia" w:ascii="仿宋" w:hAnsi="仿宋" w:eastAsia="仿宋" w:cs="仿宋"/>
          <w:b w:val="0"/>
          <w:bCs/>
          <w:color w:val="auto"/>
          <w:sz w:val="28"/>
          <w:szCs w:val="28"/>
          <w:u w:val="none"/>
          <w:lang w:val="en-US" w:eastAsia="zh-CN"/>
        </w:rPr>
        <w:t>室外蒸汽管道保温修复及保护铝板安装</w:t>
      </w:r>
      <w:r>
        <w:rPr>
          <w:rFonts w:hint="eastAsia" w:ascii="仿宋" w:hAnsi="仿宋" w:eastAsia="仿宋" w:cs="仿宋"/>
          <w:color w:val="auto"/>
          <w:sz w:val="28"/>
          <w:szCs w:val="28"/>
        </w:rPr>
        <w:t>完毕、经</w:t>
      </w:r>
      <w:r>
        <w:rPr>
          <w:rFonts w:hint="eastAsia" w:ascii="仿宋" w:hAnsi="仿宋" w:eastAsia="仿宋" w:cs="仿宋"/>
          <w:color w:val="auto"/>
          <w:sz w:val="28"/>
          <w:szCs w:val="28"/>
          <w:lang w:val="en-US" w:eastAsia="zh-CN"/>
        </w:rPr>
        <w:t>甲、乙双方</w:t>
      </w:r>
      <w:r>
        <w:rPr>
          <w:rFonts w:hint="eastAsia" w:ascii="仿宋" w:hAnsi="仿宋" w:eastAsia="仿宋" w:cs="仿宋"/>
          <w:color w:val="auto"/>
          <w:sz w:val="28"/>
          <w:szCs w:val="28"/>
          <w:highlight w:val="none"/>
          <w:lang w:val="en-US" w:eastAsia="zh-CN"/>
        </w:rPr>
        <w:t>验收人员</w:t>
      </w:r>
      <w:r>
        <w:rPr>
          <w:rFonts w:hint="eastAsia" w:ascii="仿宋" w:hAnsi="仿宋" w:eastAsia="仿宋" w:cs="仿宋"/>
          <w:color w:val="auto"/>
          <w:sz w:val="28"/>
          <w:szCs w:val="28"/>
        </w:rPr>
        <w:t>验收合格</w:t>
      </w:r>
      <w:r>
        <w:rPr>
          <w:rFonts w:hint="eastAsia" w:ascii="仿宋" w:hAnsi="仿宋" w:eastAsia="仿宋" w:cs="仿宋"/>
          <w:color w:val="auto"/>
          <w:sz w:val="28"/>
          <w:szCs w:val="28"/>
          <w:lang w:val="en-US" w:eastAsia="zh-CN"/>
        </w:rPr>
        <w:t>后由乙方</w:t>
      </w:r>
      <w:r>
        <w:rPr>
          <w:rFonts w:hint="eastAsia" w:ascii="仿宋" w:hAnsi="仿宋" w:eastAsia="仿宋" w:cs="仿宋"/>
          <w:color w:val="auto"/>
          <w:sz w:val="28"/>
          <w:szCs w:val="28"/>
        </w:rPr>
        <w:t>交付</w:t>
      </w:r>
      <w:r>
        <w:rPr>
          <w:rFonts w:hint="eastAsia" w:ascii="仿宋" w:hAnsi="仿宋" w:eastAsia="仿宋" w:cs="仿宋"/>
          <w:color w:val="auto"/>
          <w:sz w:val="28"/>
          <w:szCs w:val="28"/>
          <w:lang w:val="en-US" w:eastAsia="zh-CN"/>
        </w:rPr>
        <w:t>给甲方正常</w:t>
      </w:r>
      <w:r>
        <w:rPr>
          <w:rFonts w:hint="eastAsia" w:ascii="仿宋" w:hAnsi="仿宋" w:eastAsia="仿宋" w:cs="仿宋"/>
          <w:color w:val="auto"/>
          <w:sz w:val="28"/>
          <w:szCs w:val="28"/>
        </w:rPr>
        <w:t>使用时止。</w:t>
      </w:r>
    </w:p>
    <w:p w14:paraId="255A58F6">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color w:val="auto"/>
          <w:sz w:val="28"/>
          <w:szCs w:val="28"/>
        </w:rPr>
      </w:pPr>
      <w:r>
        <w:rPr>
          <w:rFonts w:hint="eastAsia" w:ascii="仿宋" w:hAnsi="仿宋" w:eastAsia="仿宋" w:cs="仿宋"/>
          <w:b/>
          <w:bCs/>
          <w:color w:val="auto"/>
          <w:sz w:val="28"/>
          <w:szCs w:val="28"/>
        </w:rPr>
        <w:t>第四条 质量要求和标准</w:t>
      </w:r>
      <w:r>
        <w:rPr>
          <w:rFonts w:hint="eastAsia" w:ascii="仿宋" w:hAnsi="仿宋" w:eastAsia="仿宋" w:cs="仿宋"/>
          <w:color w:val="auto"/>
          <w:sz w:val="28"/>
          <w:szCs w:val="28"/>
        </w:rPr>
        <w:t xml:space="preserve"> </w:t>
      </w:r>
    </w:p>
    <w:p w14:paraId="0A437286">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乙方在施工过程中提供的材料必须符合国家标准、设计要求。</w:t>
      </w:r>
    </w:p>
    <w:p w14:paraId="71E3F164">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4.2 乙方必须严格按照安全技术规范、甲方设计施工图纸、技术要求及现场情况，</w:t>
      </w:r>
      <w:r>
        <w:rPr>
          <w:rFonts w:hint="eastAsia" w:ascii="仿宋" w:hAnsi="仿宋" w:eastAsia="仿宋" w:cs="仿宋"/>
          <w:color w:val="auto"/>
          <w:sz w:val="28"/>
          <w:szCs w:val="28"/>
          <w:lang w:eastAsia="zh-CN"/>
        </w:rPr>
        <w:t>进行保温</w:t>
      </w:r>
      <w:r>
        <w:rPr>
          <w:rFonts w:hint="eastAsia" w:ascii="仿宋" w:hAnsi="仿宋" w:eastAsia="仿宋" w:cs="仿宋"/>
          <w:color w:val="auto"/>
          <w:sz w:val="28"/>
          <w:szCs w:val="28"/>
        </w:rPr>
        <w:t>防腐，规范施工，经</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验收合格，使施工项目达到国家合格标准。</w:t>
      </w:r>
    </w:p>
    <w:p w14:paraId="54389F94">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4.3 特殊要求</w:t>
      </w:r>
    </w:p>
    <w:p w14:paraId="058DDBD1">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4.3.1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给汽、回汽主管道安装并做保温处理，保温棉要求：密度48±10%，最高使用温度：300℃；导热系数≤0.034W/ML（常温25℃），≤0.058W/ML（平均温度250℃）；憎水率≥99%；保温材质外壳要求用0.</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mm铝板。</w:t>
      </w:r>
    </w:p>
    <w:p w14:paraId="5293E5DC">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4.3.2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蒸汽管道</w:t>
      </w:r>
      <w:r>
        <w:rPr>
          <w:rFonts w:hint="eastAsia" w:ascii="仿宋" w:hAnsi="仿宋" w:eastAsia="仿宋" w:cs="仿宋"/>
          <w:color w:val="auto"/>
          <w:sz w:val="28"/>
          <w:szCs w:val="28"/>
          <w:lang w:val="en-US" w:eastAsia="zh-CN"/>
        </w:rPr>
        <w:t>保温工程</w:t>
      </w:r>
      <w:r>
        <w:rPr>
          <w:rFonts w:hint="eastAsia" w:ascii="仿宋" w:hAnsi="仿宋" w:eastAsia="仿宋" w:cs="仿宋"/>
          <w:color w:val="auto"/>
          <w:sz w:val="28"/>
          <w:szCs w:val="28"/>
        </w:rPr>
        <w:t>及配件均需符合国家相关质量标准并提供生产厂家的制造许可证、产品质量证明书、合格证。</w:t>
      </w:r>
    </w:p>
    <w:p w14:paraId="167711F3">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第五条 双方权利和义务</w:t>
      </w:r>
    </w:p>
    <w:p w14:paraId="1D779288">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color w:val="auto"/>
          <w:sz w:val="28"/>
          <w:szCs w:val="28"/>
        </w:rPr>
      </w:pPr>
      <w:r>
        <w:rPr>
          <w:rFonts w:hint="eastAsia" w:ascii="仿宋" w:hAnsi="仿宋" w:eastAsia="仿宋" w:cs="仿宋"/>
          <w:b/>
          <w:bCs/>
          <w:color w:val="auto"/>
          <w:sz w:val="28"/>
          <w:szCs w:val="28"/>
        </w:rPr>
        <w:t>5.1 甲方的权利和义务</w:t>
      </w:r>
    </w:p>
    <w:p w14:paraId="562080DB">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提供有效的施工图纸、会审记录等作为施工依据。</w:t>
      </w:r>
    </w:p>
    <w:p w14:paraId="1D20BB50">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负责向乙方技术交底，及时解决图纸存在的问题。</w:t>
      </w:r>
    </w:p>
    <w:p w14:paraId="55936DAB">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负责工程质量跟踪检查及质量监督。</w:t>
      </w:r>
    </w:p>
    <w:p w14:paraId="72E509B8">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5.1.4</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梁湘源</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13007381077</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）作为现场管理人员。</w:t>
      </w:r>
    </w:p>
    <w:p w14:paraId="1D44E1CB">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5.2 乙方的权利和义务</w:t>
      </w:r>
    </w:p>
    <w:p w14:paraId="435AB448">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文明施工，遵守法律法规和甲方《班组综合管理制度》等相关规章制度，服从甲方现场管理人员指挥，不得以任何理由</w:t>
      </w:r>
      <w:r>
        <w:rPr>
          <w:rFonts w:hint="eastAsia" w:ascii="仿宋" w:hAnsi="仿宋" w:eastAsia="仿宋" w:cs="仿宋"/>
          <w:color w:val="auto"/>
          <w:sz w:val="28"/>
          <w:szCs w:val="28"/>
          <w:lang w:eastAsia="zh-CN"/>
        </w:rPr>
        <w:t>刁难</w:t>
      </w:r>
      <w:r>
        <w:rPr>
          <w:rFonts w:hint="eastAsia" w:ascii="仿宋" w:hAnsi="仿宋" w:eastAsia="仿宋" w:cs="仿宋"/>
          <w:color w:val="auto"/>
          <w:sz w:val="28"/>
          <w:szCs w:val="28"/>
        </w:rPr>
        <w:t>甲方现场管理人员。</w:t>
      </w:r>
    </w:p>
    <w:p w14:paraId="7B3BB4C9">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5.2.2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必须熟悉图纸，在施工前按图纸及工艺要求将材料采购计划（采购计划应包括材料品牌、型号、规格等）提前报甲方审批，其中大型材料应提前10天，小型材料应提前3天；材料入场时须通知甲方对材料品牌、数量等进行验收确认；经确认合格后方可放置甲方指定区域，施工所需的所有材料均由乙方自行保管，如因丢失、毁损、坠落等造成的损害和损失全部由乙方自行承担。</w:t>
      </w:r>
    </w:p>
    <w:p w14:paraId="0B28E5BC">
      <w:pPr>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5.2.3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指派具有安装资质的项目经理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）作为施工现场管理人员，配合甲方做好安全文明施工、质量检查、施工进度协调等工作。</w:t>
      </w:r>
    </w:p>
    <w:p w14:paraId="4616D36D">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5.2.4 </w:t>
      </w:r>
      <w:r>
        <w:rPr>
          <w:rFonts w:hint="eastAsia" w:ascii="仿宋" w:hAnsi="仿宋" w:eastAsia="仿宋" w:cs="仿宋"/>
          <w:color w:val="auto"/>
          <w:sz w:val="28"/>
          <w:szCs w:val="28"/>
          <w:lang w:val="en-US" w:eastAsia="zh-CN"/>
        </w:rPr>
        <w:t>配合</w:t>
      </w:r>
      <w:r>
        <w:rPr>
          <w:rFonts w:hint="eastAsia" w:ascii="仿宋" w:hAnsi="仿宋" w:eastAsia="仿宋" w:cs="仿宋"/>
          <w:color w:val="auto"/>
          <w:sz w:val="28"/>
          <w:szCs w:val="28"/>
        </w:rPr>
        <w:t>甲方</w:t>
      </w:r>
      <w:r>
        <w:rPr>
          <w:rFonts w:hint="eastAsia" w:ascii="仿宋" w:hAnsi="仿宋" w:eastAsia="仿宋" w:cs="仿宋"/>
          <w:color w:val="auto"/>
          <w:sz w:val="28"/>
          <w:szCs w:val="28"/>
          <w:lang w:val="en-US" w:eastAsia="zh-CN"/>
        </w:rPr>
        <w:t>进行完工验收。</w:t>
      </w:r>
    </w:p>
    <w:p w14:paraId="065F7826">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5.2.5 严格按设计图施工，在施工过程中发现图纸设计问题，及时向甲方现场管理人员汇报，不得擅自更改设计。</w:t>
      </w:r>
    </w:p>
    <w:p w14:paraId="6419CB28">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5.2.6</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对已完工的各分项工程进行自检自查，每个流水段施工应切实做到工完场清，做好成品保护工作，不得随意破坏其他施工面。</w:t>
      </w:r>
    </w:p>
    <w:p w14:paraId="1F0FF0E7">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5.2.7 如因停水停电、下雨、机械维修及其它不可抗力因素造成的误工，由此增加的费用由乙方负责。</w:t>
      </w:r>
    </w:p>
    <w:p w14:paraId="6979BC53">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5.2.8 乙方承担施工用水用电费用，施工过程中所需设施设备等均由乙方自行提供和保管。</w:t>
      </w:r>
    </w:p>
    <w:p w14:paraId="6C4281C0">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5.2.9 对工人进行安全技术交底，所有工人必须是熟练工人，特殊</w:t>
      </w:r>
      <w:r>
        <w:rPr>
          <w:rFonts w:hint="eastAsia" w:ascii="仿宋" w:hAnsi="仿宋" w:eastAsia="仿宋" w:cs="仿宋"/>
          <w:color w:val="auto"/>
          <w:sz w:val="28"/>
          <w:szCs w:val="28"/>
          <w:lang w:eastAsia="zh-CN"/>
        </w:rPr>
        <w:t>工种</w:t>
      </w:r>
      <w:r>
        <w:rPr>
          <w:rFonts w:hint="eastAsia" w:ascii="仿宋" w:hAnsi="仿宋" w:eastAsia="仿宋" w:cs="仿宋"/>
          <w:color w:val="auto"/>
          <w:sz w:val="28"/>
          <w:szCs w:val="28"/>
        </w:rPr>
        <w:t>操作必须持证上岗并提供有效证明交甲方存档；工人食宿由乙方负责并承担相关费用；所有工农矛盾均由乙方负责处理。</w:t>
      </w:r>
    </w:p>
    <w:p w14:paraId="13E5937F">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安全责任及风险承担</w:t>
      </w:r>
    </w:p>
    <w:p w14:paraId="742302B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6.1 </w:t>
      </w:r>
      <w:r>
        <w:rPr>
          <w:rFonts w:hint="eastAsia" w:ascii="仿宋" w:hAnsi="仿宋" w:eastAsia="仿宋" w:cs="仿宋"/>
          <w:color w:val="auto"/>
          <w:sz w:val="28"/>
          <w:szCs w:val="28"/>
        </w:rPr>
        <w:t>乙方在施工现场应尽到安全注意义务，做好安全防范预案，采取必要安全措施。乙方在履行本合同过程中发生的一切事故，给甲方、乙方（包括乙方指派履行本合同人员）或第三方的人身和财产造成的损失，均由乙方负责处理并承担所有费用和法律责任。</w:t>
      </w:r>
    </w:p>
    <w:p w14:paraId="2376810C">
      <w:pPr>
        <w:pStyle w:val="2"/>
        <w:keepNext w:val="0"/>
        <w:keepLines w:val="0"/>
        <w:pageBreakBefore w:val="0"/>
        <w:widowControl w:val="0"/>
        <w:kinsoku/>
        <w:wordWrap/>
        <w:overflowPunct/>
        <w:topLinePunct w:val="0"/>
        <w:autoSpaceDE/>
        <w:autoSpaceDN/>
        <w:bidi w:val="0"/>
        <w:adjustRightInd/>
        <w:snapToGrid/>
        <w:spacing w:after="0" w:line="480" w:lineRule="exact"/>
        <w:ind w:left="0" w:leftChars="0"/>
        <w:textAlignment w:val="auto"/>
        <w:rPr>
          <w:rFonts w:hint="default" w:eastAsia="仿宋"/>
          <w:color w:val="auto"/>
          <w:lang w:val="en-US" w:eastAsia="zh-CN"/>
        </w:rPr>
      </w:pPr>
      <w:r>
        <w:rPr>
          <w:rFonts w:hint="eastAsia" w:ascii="仿宋" w:hAnsi="仿宋" w:eastAsia="仿宋" w:cs="仿宋"/>
          <w:color w:val="auto"/>
          <w:sz w:val="28"/>
          <w:szCs w:val="28"/>
          <w:lang w:val="en-US" w:eastAsia="zh-CN"/>
        </w:rPr>
        <w:t xml:space="preserve">6.2 </w:t>
      </w:r>
      <w:r>
        <w:rPr>
          <w:rFonts w:hint="eastAsia" w:ascii="仿宋_GB2312" w:hAnsi="仿宋_GB2312" w:eastAsia="仿宋_GB2312" w:cs="仿宋_GB2312"/>
          <w:color w:val="auto"/>
          <w:sz w:val="28"/>
          <w:szCs w:val="28"/>
          <w:vertAlign w:val="baseline"/>
          <w:lang w:val="en-US" w:eastAsia="zh-CN"/>
        </w:rPr>
        <w:t>如甲</w:t>
      </w:r>
      <w:r>
        <w:rPr>
          <w:rFonts w:hint="eastAsia" w:ascii="仿宋" w:hAnsi="仿宋" w:eastAsia="仿宋" w:cs="仿宋"/>
          <w:color w:val="auto"/>
          <w:sz w:val="28"/>
          <w:szCs w:val="28"/>
          <w:lang w:val="en-US" w:eastAsia="zh-CN"/>
        </w:rPr>
        <w:t>方因乙方施工等原因涉及纠纷、诉讼或被处以行政处罚，由乙方承担甲方因纠纷、诉讼、罚款等造成的全部经济损失。</w:t>
      </w:r>
    </w:p>
    <w:p w14:paraId="07AC9316">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工程量签证</w:t>
      </w:r>
    </w:p>
    <w:p w14:paraId="0F656AC6">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7.1 乙方必须严格按施工图施工，工程项目、工程量的调增、调减、取消必须经甲方认可的设计单位出具变更单及施工图方可施工。如本合同项目采购工程量清单存在错项、漏项，必须经双方签证确认。隐蔽工程覆盖前乙方应书面通知甲方对完成工程量进行签证确认。</w:t>
      </w:r>
    </w:p>
    <w:p w14:paraId="67EAC371">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7.2 因变更和签证所形成的总造价变化不得超过暂定合同签约价的10%。</w:t>
      </w:r>
    </w:p>
    <w:p w14:paraId="43E11BB2">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第八条 验收</w:t>
      </w:r>
    </w:p>
    <w:p w14:paraId="0864D479">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8.1 材料验收：乙方采购的材料、设备及构配件要符合节能、环保的相关标准和规范要求，并提供产品合格证和相关环保检测报告，经甲方相关人员验收合格后方可使用。如经甲方验收不合格，乙方应无条件予以更换，由此产生的费用由乙方承担。</w:t>
      </w:r>
    </w:p>
    <w:p w14:paraId="270670FA">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8.2 隐蔽工程验收：</w:t>
      </w:r>
      <w:r>
        <w:rPr>
          <w:rFonts w:hint="eastAsia" w:ascii="仿宋_GB2312" w:hAnsi="仿宋_GB2312" w:eastAsia="仿宋_GB2312" w:cs="仿宋_GB2312"/>
          <w:color w:val="auto"/>
          <w:sz w:val="28"/>
          <w:szCs w:val="28"/>
          <w:vertAlign w:val="baseline"/>
          <w:lang w:val="en-US" w:eastAsia="zh-CN"/>
        </w:rPr>
        <w:t>在施工过程中，如涉及到隐蔽和拆除方面的施工内容，乙方应提前24小时书面通知甲方，经甲方签字确认后再施工，</w:t>
      </w:r>
      <w:r>
        <w:rPr>
          <w:rFonts w:hint="eastAsia" w:ascii="仿宋" w:hAnsi="仿宋" w:eastAsia="仿宋" w:cs="仿宋"/>
          <w:color w:val="auto"/>
          <w:sz w:val="28"/>
          <w:szCs w:val="28"/>
        </w:rPr>
        <w:t>未经甲方批准，工程的任何部分都不能覆盖</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如乙方未按本合同约定提前通知，甲方不予办理签证，由此产生的费用由乙方自行承担。</w:t>
      </w:r>
      <w:r>
        <w:rPr>
          <w:rFonts w:hint="eastAsia" w:ascii="仿宋" w:hAnsi="仿宋" w:eastAsia="仿宋" w:cs="仿宋"/>
          <w:color w:val="auto"/>
          <w:sz w:val="28"/>
          <w:szCs w:val="28"/>
        </w:rPr>
        <w:t>当任何部分的隐蔽工程或达到中间验收部位已经具备检验条件时，乙方应在隐蔽工程或中间验收前12小时以书面形式通知甲方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甲方应参加对这部分工程的检查和验收</w:t>
      </w:r>
      <w:r>
        <w:rPr>
          <w:rFonts w:hint="eastAsia" w:ascii="仿宋" w:hAnsi="仿宋" w:eastAsia="仿宋" w:cs="仿宋"/>
          <w:color w:val="auto"/>
          <w:sz w:val="28"/>
          <w:szCs w:val="28"/>
          <w:lang w:eastAsia="zh-CN"/>
        </w:rPr>
        <w:t>，</w:t>
      </w:r>
      <w:r>
        <w:rPr>
          <w:rFonts w:hint="eastAsia" w:ascii="仿宋_GB2312" w:hAnsi="仿宋_GB2312" w:eastAsia="仿宋_GB2312" w:cs="仿宋_GB2312"/>
          <w:color w:val="auto"/>
          <w:sz w:val="28"/>
          <w:szCs w:val="28"/>
          <w:vertAlign w:val="baseline"/>
          <w:lang w:val="en-US" w:eastAsia="zh-CN"/>
        </w:rPr>
        <w:t>并且不得无故拖延</w:t>
      </w:r>
      <w:r>
        <w:rPr>
          <w:rFonts w:hint="eastAsia" w:ascii="仿宋" w:hAnsi="仿宋" w:eastAsia="仿宋" w:cs="仿宋"/>
          <w:color w:val="auto"/>
          <w:sz w:val="28"/>
          <w:szCs w:val="28"/>
        </w:rPr>
        <w:t>。验收不合格，乙方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在甲方限定的时间内</w:t>
      </w:r>
      <w:r>
        <w:rPr>
          <w:rFonts w:hint="eastAsia" w:ascii="仿宋" w:hAnsi="仿宋" w:eastAsia="仿宋" w:cs="仿宋"/>
          <w:color w:val="auto"/>
          <w:sz w:val="28"/>
          <w:szCs w:val="28"/>
          <w:lang w:val="en-US" w:eastAsia="zh-CN"/>
        </w:rPr>
        <w:t>完成</w:t>
      </w:r>
      <w:r>
        <w:rPr>
          <w:rFonts w:hint="eastAsia" w:ascii="仿宋" w:hAnsi="仿宋" w:eastAsia="仿宋" w:cs="仿宋"/>
          <w:color w:val="auto"/>
          <w:sz w:val="28"/>
          <w:szCs w:val="28"/>
        </w:rPr>
        <w:t>整改</w:t>
      </w:r>
      <w:r>
        <w:rPr>
          <w:rFonts w:hint="eastAsia" w:ascii="仿宋_GB2312" w:hAnsi="仿宋_GB2312" w:eastAsia="仿宋_GB2312" w:cs="仿宋_GB2312"/>
          <w:color w:val="auto"/>
          <w:sz w:val="28"/>
          <w:szCs w:val="28"/>
          <w:vertAlign w:val="baseline"/>
          <w:lang w:val="en-US" w:eastAsia="zh-CN"/>
        </w:rPr>
        <w:t>并通过甲方重新验收，由此产生的费用由乙方承担</w:t>
      </w:r>
      <w:r>
        <w:rPr>
          <w:rFonts w:hint="eastAsia" w:ascii="仿宋" w:hAnsi="仿宋" w:eastAsia="仿宋" w:cs="仿宋"/>
          <w:color w:val="auto"/>
          <w:sz w:val="28"/>
          <w:szCs w:val="28"/>
        </w:rPr>
        <w:t>。</w:t>
      </w:r>
    </w:p>
    <w:p w14:paraId="17D17EBD">
      <w:pPr>
        <w:pStyle w:val="14"/>
        <w:pageBreakBefore w:val="0"/>
        <w:widowControl w:val="0"/>
        <w:tabs>
          <w:tab w:val="left" w:pos="8100"/>
        </w:tabs>
        <w:kinsoku/>
        <w:wordWrap/>
        <w:overflowPunct/>
        <w:topLinePunct w:val="0"/>
        <w:bidi w:val="0"/>
        <w:snapToGrid/>
        <w:spacing w:line="480" w:lineRule="exact"/>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8.3 完工验收：乙方完成甲方规定的安装任务后</w:t>
      </w:r>
      <w:r>
        <w:rPr>
          <w:rFonts w:hint="eastAsia" w:ascii="仿宋" w:hAnsi="仿宋" w:eastAsia="仿宋" w:cs="仿宋"/>
          <w:color w:val="auto"/>
          <w:sz w:val="28"/>
          <w:szCs w:val="28"/>
          <w:lang w:val="en-US" w:eastAsia="zh-CN"/>
        </w:rPr>
        <w:t>书面通知甲方全程参与验收，</w:t>
      </w:r>
      <w:r>
        <w:rPr>
          <w:rFonts w:hint="eastAsia" w:ascii="仿宋" w:hAnsi="仿宋" w:eastAsia="仿宋" w:cs="仿宋"/>
          <w:color w:val="auto"/>
          <w:sz w:val="28"/>
          <w:szCs w:val="28"/>
          <w:highlight w:val="none"/>
          <w:lang w:val="en-US" w:eastAsia="zh-CN"/>
        </w:rPr>
        <w:t>经甲、乙双方验</w:t>
      </w:r>
      <w:r>
        <w:rPr>
          <w:rFonts w:hint="eastAsia" w:ascii="仿宋" w:hAnsi="仿宋" w:eastAsia="仿宋" w:cs="仿宋"/>
          <w:color w:val="auto"/>
          <w:sz w:val="28"/>
          <w:szCs w:val="28"/>
          <w:lang w:val="en-US" w:eastAsia="zh-CN"/>
        </w:rPr>
        <w:t>收合格并由甲方出具合格凭证视为本项目验收合格，</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方能</w:t>
      </w:r>
      <w:r>
        <w:rPr>
          <w:rFonts w:hint="eastAsia" w:ascii="仿宋" w:hAnsi="仿宋" w:eastAsia="仿宋" w:cs="仿宋"/>
          <w:color w:val="auto"/>
          <w:sz w:val="28"/>
          <w:szCs w:val="28"/>
        </w:rPr>
        <w:t>将项目交付甲方使用；如经</w:t>
      </w:r>
      <w:r>
        <w:rPr>
          <w:rFonts w:hint="eastAsia" w:ascii="仿宋" w:hAnsi="仿宋" w:eastAsia="仿宋" w:cs="仿宋"/>
          <w:color w:val="auto"/>
          <w:sz w:val="28"/>
          <w:szCs w:val="28"/>
          <w:highlight w:val="none"/>
          <w:lang w:val="en-US" w:eastAsia="zh-CN"/>
        </w:rPr>
        <w:t>甲、乙双方</w:t>
      </w:r>
      <w:r>
        <w:rPr>
          <w:rFonts w:hint="eastAsia" w:ascii="仿宋" w:hAnsi="仿宋" w:eastAsia="仿宋" w:cs="仿宋"/>
          <w:color w:val="auto"/>
          <w:sz w:val="28"/>
          <w:szCs w:val="28"/>
          <w:lang w:val="en-US" w:eastAsia="zh-CN"/>
        </w:rPr>
        <w:t>验收</w:t>
      </w:r>
      <w:r>
        <w:rPr>
          <w:rFonts w:hint="eastAsia" w:ascii="仿宋" w:hAnsi="仿宋" w:eastAsia="仿宋" w:cs="仿宋"/>
          <w:color w:val="auto"/>
          <w:sz w:val="28"/>
          <w:szCs w:val="28"/>
        </w:rPr>
        <w:t>不合格，乙方应无条件返工（包括但不限于根据合同及甲方要求采取补足或更换等处理措施）直至验收合格为止，返工所产生的全部损失和费用均由乙方自行承担。</w:t>
      </w:r>
    </w:p>
    <w:p w14:paraId="283889E4">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第九条 质量保修期及保修责任</w:t>
      </w:r>
    </w:p>
    <w:p w14:paraId="129DF678">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本合同项目质保期为</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年，自</w:t>
      </w:r>
      <w:r>
        <w:rPr>
          <w:rFonts w:hint="eastAsia" w:ascii="仿宋" w:hAnsi="仿宋" w:eastAsia="仿宋" w:cs="仿宋"/>
          <w:color w:val="auto"/>
          <w:sz w:val="28"/>
          <w:szCs w:val="28"/>
          <w:lang w:val="en-US" w:eastAsia="zh-CN"/>
        </w:rPr>
        <w:t>项目</w:t>
      </w:r>
      <w:r>
        <w:rPr>
          <w:rFonts w:hint="eastAsia" w:ascii="仿宋" w:hAnsi="仿宋" w:eastAsia="仿宋" w:cs="仿宋"/>
          <w:color w:val="auto"/>
          <w:sz w:val="28"/>
          <w:szCs w:val="28"/>
        </w:rPr>
        <w:t>验收合格之日起开始计算。</w:t>
      </w:r>
    </w:p>
    <w:p w14:paraId="697BD6A8">
      <w:pPr>
        <w:pageBreakBefore w:val="0"/>
        <w:widowControl w:val="0"/>
        <w:kinsoku/>
        <w:wordWrap/>
        <w:overflowPunct/>
        <w:topLinePunct w:val="0"/>
        <w:bidi w:val="0"/>
        <w:adjustRightInd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在质保期内，乙方应按相关规范要求进行定期免费检修、维护、保养。</w:t>
      </w:r>
    </w:p>
    <w:p w14:paraId="4D11F0F1">
      <w:pPr>
        <w:pageBreakBefore w:val="0"/>
        <w:widowControl w:val="0"/>
        <w:kinsoku/>
        <w:wordWrap/>
        <w:overflowPunct/>
        <w:topLinePunct w:val="0"/>
        <w:bidi w:val="0"/>
        <w:adjustRightInd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在质保期内，如乙方施工项目出现质量问题，乙方应在收到甲方通知时起</w:t>
      </w:r>
      <w:r>
        <w:rPr>
          <w:rFonts w:hint="eastAsia" w:ascii="仿宋" w:hAnsi="仿宋" w:eastAsia="仿宋" w:cs="仿宋"/>
          <w:color w:val="auto"/>
          <w:sz w:val="28"/>
          <w:szCs w:val="28"/>
          <w:u w:val="single"/>
        </w:rPr>
        <w:t xml:space="preserve"> 2 </w:t>
      </w:r>
      <w:r>
        <w:rPr>
          <w:rFonts w:hint="eastAsia" w:ascii="仿宋" w:hAnsi="仿宋" w:eastAsia="仿宋" w:cs="仿宋"/>
          <w:color w:val="auto"/>
          <w:sz w:val="28"/>
          <w:szCs w:val="28"/>
        </w:rPr>
        <w:t>小时内赶到现场进行检修、维护、修理并在到达现场起</w:t>
      </w:r>
      <w:r>
        <w:rPr>
          <w:rFonts w:hint="eastAsia" w:ascii="仿宋" w:hAnsi="仿宋" w:eastAsia="仿宋" w:cs="仿宋"/>
          <w:color w:val="auto"/>
          <w:sz w:val="28"/>
          <w:szCs w:val="28"/>
          <w:u w:val="single"/>
        </w:rPr>
        <w:t xml:space="preserve"> 3 </w:t>
      </w:r>
      <w:r>
        <w:rPr>
          <w:rFonts w:hint="eastAsia" w:ascii="仿宋" w:hAnsi="仿宋" w:eastAsia="仿宋" w:cs="仿宋"/>
          <w:color w:val="auto"/>
          <w:sz w:val="28"/>
          <w:szCs w:val="28"/>
        </w:rPr>
        <w:t>小时内完成检修、维护、修理</w:t>
      </w:r>
      <w:r>
        <w:rPr>
          <w:rFonts w:hint="eastAsia" w:ascii="仿宋" w:hAnsi="仿宋" w:eastAsia="仿宋" w:cs="仿宋"/>
          <w:color w:val="auto"/>
          <w:sz w:val="28"/>
          <w:szCs w:val="28"/>
          <w:lang w:val="en-US" w:eastAsia="zh-CN"/>
        </w:rPr>
        <w:t>并经过甲方管理部门验收登记</w:t>
      </w:r>
      <w:r>
        <w:rPr>
          <w:rFonts w:hint="eastAsia" w:ascii="仿宋" w:hAnsi="仿宋" w:eastAsia="仿宋" w:cs="仿宋"/>
          <w:color w:val="auto"/>
          <w:sz w:val="28"/>
          <w:szCs w:val="28"/>
        </w:rPr>
        <w:t>；如乙方未在前述时间内检修、维护、修理好，甲方可另行委托第三方进行，由此产生的费用由乙方承担，甲方有权在质保金内先行扣除。</w:t>
      </w:r>
    </w:p>
    <w:p w14:paraId="252391AA">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9.4 乙方指派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）专门负责与甲方联系质量保修服务事宜，如人员发生变动，应及时书面通知甲方。</w:t>
      </w:r>
    </w:p>
    <w:p w14:paraId="38B00B87">
      <w:pPr>
        <w:pStyle w:val="14"/>
        <w:pageBreakBefore w:val="0"/>
        <w:widowControl w:val="0"/>
        <w:tabs>
          <w:tab w:val="left" w:pos="8100"/>
        </w:tabs>
        <w:kinsoku/>
        <w:wordWrap/>
        <w:overflowPunct/>
        <w:topLinePunct w:val="0"/>
        <w:bidi w:val="0"/>
        <w:snapToGrid/>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第十条 安装费用</w:t>
      </w:r>
      <w:r>
        <w:rPr>
          <w:rFonts w:hint="eastAsia" w:ascii="仿宋" w:hAnsi="仿宋" w:eastAsia="仿宋" w:cs="仿宋"/>
          <w:b/>
          <w:bCs/>
          <w:color w:val="auto"/>
          <w:sz w:val="28"/>
          <w:szCs w:val="28"/>
          <w:lang w:val="en-US" w:eastAsia="zh-CN"/>
        </w:rPr>
        <w:t>标准、结算</w:t>
      </w:r>
      <w:r>
        <w:rPr>
          <w:rFonts w:hint="eastAsia" w:ascii="仿宋" w:hAnsi="仿宋" w:eastAsia="仿宋" w:cs="仿宋"/>
          <w:b/>
          <w:bCs/>
          <w:color w:val="auto"/>
          <w:sz w:val="28"/>
          <w:szCs w:val="28"/>
        </w:rPr>
        <w:t>及支付方式</w:t>
      </w:r>
    </w:p>
    <w:p w14:paraId="36B8E37B">
      <w:pPr>
        <w:pStyle w:val="14"/>
        <w:keepNext w:val="0"/>
        <w:keepLines w:val="0"/>
        <w:pageBreakBefore w:val="0"/>
        <w:widowControl w:val="0"/>
        <w:tabs>
          <w:tab w:val="left" w:pos="8100"/>
        </w:tabs>
        <w:kinsoku/>
        <w:wordWrap/>
        <w:overflowPunct/>
        <w:topLinePunct w:val="0"/>
        <w:autoSpaceDE/>
        <w:autoSpaceDN/>
        <w:bidi w:val="0"/>
        <w:adjustRightInd/>
        <w:snapToGrid/>
        <w:spacing w:line="480" w:lineRule="exact"/>
        <w:ind w:firstLine="516" w:firstLineChars="200"/>
        <w:jc w:val="both"/>
        <w:textAlignment w:val="auto"/>
        <w:rPr>
          <w:rFonts w:hint="eastAsia" w:ascii="仿宋" w:hAnsi="仿宋" w:eastAsia="仿宋" w:cs="仿宋"/>
          <w:color w:val="auto"/>
          <w:spacing w:val="-11"/>
          <w:sz w:val="28"/>
          <w:szCs w:val="28"/>
          <w:lang w:val="en-US" w:eastAsia="zh-CN"/>
        </w:rPr>
      </w:pPr>
      <w:r>
        <w:rPr>
          <w:rFonts w:hint="eastAsia" w:ascii="仿宋" w:hAnsi="仿宋" w:eastAsia="仿宋" w:cs="仿宋"/>
          <w:color w:val="auto"/>
          <w:spacing w:val="-11"/>
          <w:sz w:val="28"/>
          <w:szCs w:val="28"/>
        </w:rPr>
        <w:t>10.1 本合同安装费用为固定单价（以乙方响应文件分项报价为准），安装</w:t>
      </w:r>
      <w:r>
        <w:rPr>
          <w:rFonts w:hint="eastAsia" w:ascii="仿宋" w:hAnsi="仿宋" w:eastAsia="仿宋" w:cs="仿宋"/>
          <w:color w:val="auto"/>
          <w:spacing w:val="-11"/>
          <w:sz w:val="28"/>
          <w:szCs w:val="28"/>
          <w:lang w:val="en-US" w:eastAsia="zh-CN"/>
        </w:rPr>
        <w:t>费用</w:t>
      </w:r>
      <w:r>
        <w:rPr>
          <w:rFonts w:hint="eastAsia" w:ascii="仿宋" w:hAnsi="仿宋" w:eastAsia="仿宋" w:cs="仿宋"/>
          <w:color w:val="auto"/>
          <w:spacing w:val="-11"/>
          <w:sz w:val="28"/>
          <w:szCs w:val="28"/>
        </w:rPr>
        <w:t>包括但不限于安装费、人工费、材料费、机械费</w:t>
      </w:r>
      <w:r>
        <w:rPr>
          <w:rFonts w:hint="eastAsia" w:ascii="仿宋" w:hAnsi="仿宋" w:eastAsia="仿宋" w:cs="仿宋"/>
          <w:color w:val="auto"/>
          <w:spacing w:val="-11"/>
          <w:sz w:val="28"/>
          <w:szCs w:val="28"/>
          <w:lang w:eastAsia="zh-CN"/>
        </w:rPr>
        <w:t>、</w:t>
      </w:r>
      <w:r>
        <w:rPr>
          <w:rFonts w:hint="eastAsia" w:ascii="仿宋" w:hAnsi="仿宋" w:eastAsia="仿宋" w:cs="仿宋"/>
          <w:color w:val="auto"/>
          <w:spacing w:val="-11"/>
          <w:sz w:val="28"/>
          <w:szCs w:val="28"/>
        </w:rPr>
        <w:t>检修费、维护费、修理费、检验费、税费等</w:t>
      </w:r>
      <w:r>
        <w:rPr>
          <w:rFonts w:hint="eastAsia" w:ascii="仿宋" w:hAnsi="仿宋" w:eastAsia="仿宋" w:cs="仿宋"/>
          <w:color w:val="auto"/>
          <w:spacing w:val="-11"/>
          <w:sz w:val="28"/>
          <w:szCs w:val="28"/>
          <w:lang w:val="en-US" w:eastAsia="zh-CN"/>
        </w:rPr>
        <w:t>；</w:t>
      </w:r>
      <w:r>
        <w:rPr>
          <w:rFonts w:hint="eastAsia" w:ascii="仿宋" w:hAnsi="仿宋" w:eastAsia="仿宋" w:cs="仿宋"/>
          <w:color w:val="auto"/>
          <w:spacing w:val="-11"/>
          <w:sz w:val="28"/>
          <w:szCs w:val="28"/>
        </w:rPr>
        <w:t>合同总价</w:t>
      </w:r>
      <w:r>
        <w:rPr>
          <w:rFonts w:hint="eastAsia" w:ascii="仿宋" w:hAnsi="仿宋" w:eastAsia="仿宋" w:cs="仿宋"/>
          <w:color w:val="auto"/>
          <w:spacing w:val="-11"/>
          <w:sz w:val="28"/>
          <w:szCs w:val="28"/>
          <w:lang w:val="en-US" w:eastAsia="zh-CN"/>
        </w:rPr>
        <w:t>款</w:t>
      </w:r>
      <w:r>
        <w:rPr>
          <w:rFonts w:hint="eastAsia" w:ascii="仿宋" w:hAnsi="仿宋" w:eastAsia="仿宋" w:cs="仿宋"/>
          <w:color w:val="auto"/>
          <w:spacing w:val="-11"/>
          <w:sz w:val="28"/>
          <w:szCs w:val="28"/>
        </w:rPr>
        <w:t>暂定为人民币</w:t>
      </w:r>
      <w:r>
        <w:rPr>
          <w:rFonts w:hint="eastAsia" w:ascii="仿宋" w:hAnsi="仿宋" w:eastAsia="仿宋" w:cs="仿宋"/>
          <w:color w:val="auto"/>
          <w:spacing w:val="-11"/>
          <w:sz w:val="28"/>
          <w:szCs w:val="28"/>
          <w:u w:val="single"/>
        </w:rPr>
        <w:t xml:space="preserve">    </w:t>
      </w:r>
      <w:r>
        <w:rPr>
          <w:rFonts w:hint="eastAsia" w:ascii="仿宋" w:hAnsi="仿宋" w:eastAsia="仿宋" w:cs="仿宋"/>
          <w:color w:val="auto"/>
          <w:spacing w:val="-11"/>
          <w:sz w:val="28"/>
          <w:szCs w:val="28"/>
          <w:u w:val="single"/>
          <w:lang w:val="en-US" w:eastAsia="zh-CN"/>
        </w:rPr>
        <w:t xml:space="preserve">  </w:t>
      </w:r>
      <w:r>
        <w:rPr>
          <w:rFonts w:hint="eastAsia" w:ascii="仿宋" w:hAnsi="仿宋" w:eastAsia="仿宋" w:cs="仿宋"/>
          <w:color w:val="auto"/>
          <w:spacing w:val="-11"/>
          <w:sz w:val="28"/>
          <w:szCs w:val="28"/>
          <w:u w:val="single"/>
        </w:rPr>
        <w:t xml:space="preserve">   </w:t>
      </w:r>
      <w:r>
        <w:rPr>
          <w:rFonts w:hint="eastAsia" w:ascii="仿宋" w:hAnsi="仿宋" w:eastAsia="仿宋" w:cs="仿宋"/>
          <w:color w:val="auto"/>
          <w:spacing w:val="-11"/>
          <w:sz w:val="28"/>
          <w:szCs w:val="28"/>
          <w:u w:val="single"/>
          <w:lang w:val="en-US" w:eastAsia="zh-CN"/>
        </w:rPr>
        <w:t xml:space="preserve">  </w:t>
      </w:r>
      <w:r>
        <w:rPr>
          <w:rFonts w:hint="eastAsia" w:ascii="仿宋" w:hAnsi="仿宋" w:eastAsia="仿宋" w:cs="仿宋"/>
          <w:color w:val="auto"/>
          <w:spacing w:val="-11"/>
          <w:sz w:val="28"/>
          <w:szCs w:val="28"/>
          <w:u w:val="none"/>
          <w:lang w:val="en-US" w:eastAsia="zh-CN"/>
        </w:rPr>
        <w:t>元</w:t>
      </w:r>
      <w:r>
        <w:rPr>
          <w:rFonts w:hint="eastAsia" w:ascii="仿宋" w:hAnsi="仿宋" w:eastAsia="仿宋" w:cs="仿宋"/>
          <w:color w:val="auto"/>
          <w:spacing w:val="-11"/>
          <w:sz w:val="28"/>
          <w:szCs w:val="28"/>
          <w:lang w:val="en-US" w:eastAsia="zh-CN"/>
        </w:rPr>
        <w:t>，</w:t>
      </w:r>
      <w:r>
        <w:rPr>
          <w:rFonts w:hint="eastAsia" w:ascii="仿宋" w:hAnsi="仿宋" w:eastAsia="仿宋" w:cs="仿宋"/>
          <w:color w:val="auto"/>
          <w:spacing w:val="-11"/>
          <w:sz w:val="28"/>
          <w:szCs w:val="28"/>
        </w:rPr>
        <w:t>最终</w:t>
      </w:r>
      <w:r>
        <w:rPr>
          <w:rFonts w:hint="eastAsia" w:ascii="仿宋" w:hAnsi="仿宋" w:eastAsia="仿宋" w:cs="仿宋"/>
          <w:color w:val="auto"/>
          <w:spacing w:val="-11"/>
          <w:sz w:val="28"/>
          <w:szCs w:val="28"/>
          <w:lang w:val="en-US" w:eastAsia="zh-CN"/>
        </w:rPr>
        <w:t>以甲方委托第三方审计机构出具的审计</w:t>
      </w:r>
      <w:r>
        <w:rPr>
          <w:rFonts w:hint="eastAsia" w:ascii="仿宋" w:hAnsi="仿宋" w:eastAsia="仿宋" w:cs="仿宋"/>
          <w:color w:val="auto"/>
          <w:spacing w:val="-11"/>
          <w:sz w:val="28"/>
          <w:szCs w:val="28"/>
        </w:rPr>
        <w:t>结论</w:t>
      </w:r>
      <w:r>
        <w:rPr>
          <w:rFonts w:hint="eastAsia" w:ascii="仿宋" w:hAnsi="仿宋" w:eastAsia="仿宋" w:cs="仿宋"/>
          <w:color w:val="auto"/>
          <w:spacing w:val="-11"/>
          <w:sz w:val="28"/>
          <w:szCs w:val="28"/>
          <w:lang w:val="en-US" w:eastAsia="zh-CN"/>
        </w:rPr>
        <w:t>为准。</w:t>
      </w:r>
    </w:p>
    <w:p w14:paraId="48452C9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10.2 </w:t>
      </w:r>
      <w:r>
        <w:rPr>
          <w:rFonts w:hint="eastAsia" w:ascii="仿宋" w:hAnsi="仿宋" w:eastAsia="仿宋" w:cs="仿宋"/>
          <w:b/>
          <w:bCs/>
          <w:color w:val="auto"/>
          <w:sz w:val="28"/>
          <w:szCs w:val="28"/>
        </w:rPr>
        <w:t>经双方签字确认增加的工程量按乙方响应文件分项报价标准取费，响应文件分项报价有综合单价的按原综合单价计取，无综合单价</w:t>
      </w:r>
      <w:r>
        <w:rPr>
          <w:rFonts w:hint="eastAsia" w:ascii="仿宋" w:hAnsi="仿宋" w:eastAsia="仿宋" w:cs="仿宋"/>
          <w:b/>
          <w:bCs/>
          <w:color w:val="auto"/>
          <w:sz w:val="28"/>
          <w:szCs w:val="28"/>
          <w:lang w:eastAsia="zh-CN"/>
        </w:rPr>
        <w:t>的</w:t>
      </w:r>
      <w:r>
        <w:rPr>
          <w:rFonts w:hint="eastAsia" w:ascii="仿宋" w:hAnsi="仿宋" w:eastAsia="仿宋" w:cs="仿宋"/>
          <w:b/>
          <w:bCs/>
          <w:color w:val="auto"/>
          <w:sz w:val="28"/>
          <w:szCs w:val="28"/>
          <w:lang w:val="en-US" w:eastAsia="zh-CN"/>
        </w:rPr>
        <w:t>则重新询价报价</w:t>
      </w:r>
      <w:r>
        <w:rPr>
          <w:rFonts w:hint="eastAsia" w:ascii="仿宋" w:hAnsi="仿宋" w:eastAsia="仿宋" w:cs="仿宋"/>
          <w:b/>
          <w:bCs/>
          <w:color w:val="auto"/>
          <w:sz w:val="28"/>
          <w:szCs w:val="28"/>
        </w:rPr>
        <w:t>，如牵涉数量大的主材，双方应进行市场询价。</w:t>
      </w:r>
      <w:r>
        <w:rPr>
          <w:rFonts w:hint="eastAsia" w:ascii="仿宋" w:hAnsi="仿宋" w:eastAsia="仿宋" w:cs="仿宋"/>
          <w:b/>
          <w:bCs/>
          <w:color w:val="auto"/>
          <w:sz w:val="28"/>
          <w:szCs w:val="28"/>
          <w:lang w:val="en-US" w:eastAsia="zh-CN"/>
        </w:rPr>
        <w:t xml:space="preserve"> </w:t>
      </w:r>
    </w:p>
    <w:p w14:paraId="2ACE86E8">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10.3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w:t>
      </w:r>
      <w:r>
        <w:rPr>
          <w:rFonts w:hint="eastAsia" w:ascii="仿宋" w:hAnsi="仿宋" w:eastAsia="仿宋" w:cs="仿宋"/>
          <w:color w:val="auto"/>
          <w:sz w:val="28"/>
          <w:szCs w:val="28"/>
          <w:lang w:val="en-US" w:eastAsia="zh-CN"/>
        </w:rPr>
        <w:t>安装</w:t>
      </w:r>
      <w:r>
        <w:rPr>
          <w:rFonts w:hint="eastAsia" w:ascii="仿宋" w:hAnsi="仿宋" w:eastAsia="仿宋" w:cs="仿宋"/>
          <w:color w:val="auto"/>
          <w:sz w:val="28"/>
          <w:szCs w:val="28"/>
        </w:rPr>
        <w:t>任务并经</w:t>
      </w:r>
      <w:r>
        <w:rPr>
          <w:rFonts w:hint="eastAsia" w:ascii="仿宋" w:hAnsi="仿宋" w:eastAsia="仿宋" w:cs="仿宋"/>
          <w:color w:val="auto"/>
          <w:sz w:val="28"/>
          <w:szCs w:val="28"/>
          <w:lang w:val="en-US" w:eastAsia="zh-CN"/>
        </w:rPr>
        <w:t>甲、乙双方</w:t>
      </w:r>
      <w:r>
        <w:rPr>
          <w:rFonts w:hint="eastAsia" w:ascii="仿宋" w:hAnsi="仿宋" w:eastAsia="仿宋" w:cs="仿宋"/>
          <w:color w:val="auto"/>
          <w:sz w:val="28"/>
          <w:szCs w:val="28"/>
        </w:rPr>
        <w:t>验收合格之日起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日内应编制结算书交由甲方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经甲方审核结算资料后，</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进行结算价款审计。</w:t>
      </w:r>
    </w:p>
    <w:p w14:paraId="11379B0F">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10.4 </w:t>
      </w:r>
      <w:r>
        <w:rPr>
          <w:rFonts w:hint="eastAsia" w:ascii="仿宋" w:hAnsi="仿宋" w:eastAsia="仿宋" w:cs="仿宋"/>
          <w:color w:val="auto"/>
          <w:sz w:val="28"/>
          <w:szCs w:val="28"/>
        </w:rPr>
        <w:t>乙方在编制结算书时应力求准确。如审计核减金额未超过结算送审金额的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%，审计费用由甲方承担；如审计核减金额超过结算送审金额的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14:paraId="32ED95F3">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color w:val="auto"/>
          <w:sz w:val="28"/>
          <w:szCs w:val="28"/>
        </w:rPr>
        <w:t>10.</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甲方分期向乙方支付款项；甲方在乙方完成全部</w:t>
      </w:r>
      <w:r>
        <w:rPr>
          <w:rFonts w:hint="eastAsia" w:ascii="仿宋" w:hAnsi="仿宋" w:eastAsia="仿宋" w:cs="仿宋"/>
          <w:bCs/>
          <w:color w:val="auto"/>
          <w:kern w:val="0"/>
          <w:sz w:val="28"/>
          <w:szCs w:val="28"/>
          <w:lang w:val="en-US" w:eastAsia="zh-CN" w:bidi="ar-SA"/>
        </w:rPr>
        <w:t>安装工程并经甲、乙双方验收合格之日起</w:t>
      </w:r>
      <w:r>
        <w:rPr>
          <w:rFonts w:hint="eastAsia" w:ascii="仿宋" w:hAnsi="仿宋" w:eastAsia="仿宋" w:cs="仿宋"/>
          <w:bCs/>
          <w:color w:val="auto"/>
          <w:kern w:val="0"/>
          <w:sz w:val="28"/>
          <w:szCs w:val="28"/>
          <w:u w:val="none"/>
          <w:lang w:val="en-US" w:eastAsia="zh-CN" w:bidi="ar-SA"/>
        </w:rPr>
        <w:t>30个工作</w:t>
      </w:r>
      <w:r>
        <w:rPr>
          <w:rFonts w:hint="eastAsia" w:ascii="仿宋" w:hAnsi="仿宋" w:eastAsia="仿宋" w:cs="仿宋"/>
          <w:bCs/>
          <w:color w:val="auto"/>
          <w:kern w:val="0"/>
          <w:sz w:val="28"/>
          <w:szCs w:val="28"/>
          <w:lang w:val="en-US" w:eastAsia="zh-CN" w:bidi="ar-SA"/>
        </w:rPr>
        <w:t>日内，向乙方支付本合同暂定总价款的80%；甲方在收到第三方审计机构出具的审计结论之日起</w:t>
      </w:r>
      <w:r>
        <w:rPr>
          <w:rFonts w:hint="eastAsia" w:ascii="仿宋" w:hAnsi="仿宋" w:eastAsia="仿宋" w:cs="仿宋"/>
          <w:bCs/>
          <w:color w:val="auto"/>
          <w:kern w:val="0"/>
          <w:sz w:val="28"/>
          <w:szCs w:val="28"/>
          <w:u w:val="single"/>
          <w:lang w:val="en-US" w:eastAsia="zh-CN" w:bidi="ar-SA"/>
        </w:rPr>
        <w:t xml:space="preserve"> 10 </w:t>
      </w:r>
      <w:r>
        <w:rPr>
          <w:rFonts w:hint="eastAsia" w:ascii="仿宋" w:hAnsi="仿宋" w:eastAsia="仿宋" w:cs="仿宋"/>
          <w:bCs/>
          <w:color w:val="auto"/>
          <w:kern w:val="0"/>
          <w:sz w:val="28"/>
          <w:szCs w:val="28"/>
          <w:lang w:val="en-US" w:eastAsia="zh-CN" w:bidi="ar-SA"/>
        </w:rPr>
        <w:t>日内，向乙方支付至审计总金额的97%；余款3%作为质保金，在竣工验收合格后满两年且无质量遗留问题之日起7个工作日内，甲方扣除应扣款项后将质保金的剩余部分一次性无息退还给乙方。</w:t>
      </w:r>
    </w:p>
    <w:p w14:paraId="33B26704">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10.6 乙方应在甲方每次付款前向甲方提供价税总额与该次付款金额等额的增值税普通发票；如乙方未按前述约定提供增值税普通发票，甲方有权顺延付款且不视为逾期付款，由此产生的一切责任均由乙方自行承担。</w:t>
      </w:r>
    </w:p>
    <w:p w14:paraId="2357C54B">
      <w:pPr>
        <w:pStyle w:val="14"/>
        <w:pageBreakBefore w:val="0"/>
        <w:widowControl w:val="0"/>
        <w:tabs>
          <w:tab w:val="left" w:pos="8100"/>
        </w:tabs>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10.</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 xml:space="preserve"> 甲方以银行转账的方式向乙方支付价款，乙方指定收款银行账户的开户行：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，户名：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，账号：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599D26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第十一条 廉洁条款</w:t>
      </w:r>
    </w:p>
    <w:p w14:paraId="6DACA4A5">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11.1 乙方应严格遵守国家相关法律法规，涉及合同的有关业务活动必须坚持公开、公平、公正、诚信原则，不得为获取不正当利益，损害国家、集体和甲方利益。</w:t>
      </w:r>
    </w:p>
    <w:p w14:paraId="2B87823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82F61E8">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rPr>
        <w:t>条 通知和送达</w:t>
      </w:r>
    </w:p>
    <w:p w14:paraId="0DF9F2DB">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甲、乙双方同意，与本合同有关的任何文书，应以书面方式送达本合同约定的联系方式。书面形式包括手机短信、微信、书面函件、电子邮件等形式。</w:t>
      </w:r>
    </w:p>
    <w:p w14:paraId="5B4DCBDA">
      <w:pPr>
        <w:pageBreakBefore w:val="0"/>
        <w:widowControl w:val="0"/>
        <w:kinsoku/>
        <w:wordWrap/>
        <w:overflowPunct/>
        <w:topLinePunct w:val="0"/>
        <w:bidi w:val="0"/>
        <w:snapToGrid/>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 双方确认的文书（包括未来可能发生的诉讼或仲裁活动中法院或仲裁机构的送达法律文书）送达地址：</w:t>
      </w:r>
    </w:p>
    <w:p w14:paraId="05CFE475">
      <w:pPr>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.2.1 甲方的文书送达地址：</w:t>
      </w:r>
      <w:r>
        <w:rPr>
          <w:rFonts w:hint="eastAsia" w:ascii="仿宋" w:hAnsi="仿宋" w:eastAsia="仿宋" w:cs="仿宋"/>
          <w:color w:val="auto"/>
          <w:sz w:val="28"/>
          <w:szCs w:val="28"/>
          <w:u w:val="single"/>
        </w:rPr>
        <w:t>湖南省娄底市娄星区长青中街51号娄底市中心医院总务科</w:t>
      </w:r>
      <w:r>
        <w:rPr>
          <w:rFonts w:hint="eastAsia" w:ascii="仿宋" w:hAnsi="仿宋" w:eastAsia="仿宋" w:cs="仿宋"/>
          <w:color w:val="auto"/>
          <w:sz w:val="28"/>
          <w:szCs w:val="28"/>
        </w:rPr>
        <w:t>，收件人：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091D1713">
      <w:pPr>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.2.2 乙方的文书送达地址：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08E74D5">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 上述通知应被视为在下列时间送达：以快递或专人发送的，在收件人签收之日或拒收之日；以挂号邮件发出的，在发出之日起7个工作日</w:t>
      </w:r>
      <w:r>
        <w:rPr>
          <w:rFonts w:hint="eastAsia" w:ascii="仿宋" w:hAnsi="仿宋" w:eastAsia="仿宋" w:cs="仿宋"/>
          <w:color w:val="auto"/>
          <w:sz w:val="28"/>
          <w:szCs w:val="28"/>
          <w:lang w:eastAsia="zh-CN"/>
        </w:rPr>
        <w:t>后；</w:t>
      </w:r>
      <w:r>
        <w:rPr>
          <w:rFonts w:hint="eastAsia" w:ascii="仿宋" w:hAnsi="仿宋" w:eastAsia="仿宋" w:cs="仿宋"/>
          <w:color w:val="auto"/>
          <w:sz w:val="28"/>
          <w:szCs w:val="28"/>
        </w:rPr>
        <w:t>以电子邮件发出的，在电子邮件进入收件方电子邮箱服务器之日。</w:t>
      </w:r>
    </w:p>
    <w:p w14:paraId="0AF71583">
      <w:pPr>
        <w:pageBreakBefore w:val="0"/>
        <w:widowControl w:val="0"/>
        <w:kinsoku/>
        <w:wordWrap/>
        <w:overflowPunct/>
        <w:topLinePunct w:val="0"/>
        <w:bidi w:val="0"/>
        <w:snapToGrid/>
        <w:spacing w:line="480" w:lineRule="exact"/>
        <w:ind w:firstLine="560" w:firstLineChars="200"/>
        <w:rPr>
          <w:rFonts w:hint="eastAsia" w:ascii="仿宋" w:hAnsi="仿宋" w:eastAsia="仿宋" w:cs="仿宋"/>
          <w:b/>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.4 以上地址和联系方式，任何一方发生变更应在变更之日起3日内通知对方。如未通知，一方按原地址送达的书面资料被退回的，退回之日视为送达之日。任何一方按照确认地址</w:t>
      </w:r>
      <w:r>
        <w:rPr>
          <w:rFonts w:hint="eastAsia" w:ascii="仿宋" w:hAnsi="仿宋" w:eastAsia="仿宋" w:cs="仿宋"/>
          <w:color w:val="auto"/>
          <w:sz w:val="28"/>
          <w:szCs w:val="28"/>
          <w:lang w:eastAsia="zh-CN"/>
        </w:rPr>
        <w:t>送达</w:t>
      </w:r>
      <w:r>
        <w:rPr>
          <w:rFonts w:hint="eastAsia" w:ascii="仿宋" w:hAnsi="仿宋" w:eastAsia="仿宋" w:cs="仿宋"/>
          <w:color w:val="auto"/>
          <w:sz w:val="28"/>
          <w:szCs w:val="28"/>
        </w:rPr>
        <w:t>另一方的书面资料被拒绝签收导致邮件被退回的，退回之日视为送达之日。</w:t>
      </w:r>
    </w:p>
    <w:p w14:paraId="1E881AB6">
      <w:pPr>
        <w:pStyle w:val="2"/>
        <w:pageBreakBefore w:val="0"/>
        <w:widowControl w:val="0"/>
        <w:kinsoku/>
        <w:wordWrap/>
        <w:overflowPunct/>
        <w:topLinePunct w:val="0"/>
        <w:bidi w:val="0"/>
        <w:snapToGrid/>
        <w:spacing w:after="0" w:line="480" w:lineRule="exact"/>
        <w:ind w:left="0" w:leftChars="0" w:firstLine="562" w:firstLineChars="200"/>
        <w:rPr>
          <w:rFonts w:hint="eastAsia" w:ascii="仿宋" w:hAnsi="仿宋" w:eastAsia="仿宋" w:cs="仿宋"/>
          <w:b/>
          <w:color w:val="auto"/>
          <w:kern w:val="2"/>
          <w:sz w:val="28"/>
          <w:szCs w:val="28"/>
        </w:rPr>
      </w:pPr>
      <w:r>
        <w:rPr>
          <w:rFonts w:hint="eastAsia" w:ascii="仿宋" w:hAnsi="仿宋" w:eastAsia="仿宋" w:cs="仿宋"/>
          <w:b/>
          <w:color w:val="auto"/>
          <w:kern w:val="2"/>
          <w:sz w:val="28"/>
          <w:szCs w:val="28"/>
        </w:rPr>
        <w:t>第十</w:t>
      </w:r>
      <w:r>
        <w:rPr>
          <w:rFonts w:hint="eastAsia" w:ascii="仿宋" w:hAnsi="仿宋" w:eastAsia="仿宋" w:cs="仿宋"/>
          <w:b/>
          <w:color w:val="auto"/>
          <w:kern w:val="2"/>
          <w:sz w:val="28"/>
          <w:szCs w:val="28"/>
          <w:lang w:val="en-US" w:eastAsia="zh-CN"/>
        </w:rPr>
        <w:t>三</w:t>
      </w:r>
      <w:r>
        <w:rPr>
          <w:rFonts w:hint="eastAsia" w:ascii="仿宋" w:hAnsi="仿宋" w:eastAsia="仿宋" w:cs="仿宋"/>
          <w:b/>
          <w:color w:val="auto"/>
          <w:kern w:val="2"/>
          <w:sz w:val="28"/>
          <w:szCs w:val="28"/>
        </w:rPr>
        <w:t>条 合同的变更和解除</w:t>
      </w:r>
    </w:p>
    <w:p w14:paraId="107720F0">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.1 本合同未尽事宜，双方另行协商签订补充协议。</w:t>
      </w:r>
    </w:p>
    <w:p w14:paraId="234AB73A">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 乙方出现以下违约情形之一的，甲方有权单方解除本合同：</w:t>
      </w:r>
    </w:p>
    <w:p w14:paraId="7A2C45A7">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.2.1 乙方将本合同项目转包、分包给第三方的；</w:t>
      </w:r>
    </w:p>
    <w:p w14:paraId="420F06DB">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.2.2 乙方未在本合同约定期限完成施工并经</w:t>
      </w:r>
      <w:r>
        <w:rPr>
          <w:rFonts w:hint="eastAsia" w:ascii="仿宋" w:hAnsi="仿宋" w:eastAsia="仿宋" w:cs="仿宋"/>
          <w:color w:val="auto"/>
          <w:kern w:val="2"/>
          <w:sz w:val="28"/>
          <w:szCs w:val="28"/>
          <w:lang w:val="en-US" w:eastAsia="zh-CN"/>
        </w:rPr>
        <w:t>甲、乙双方</w:t>
      </w:r>
      <w:r>
        <w:rPr>
          <w:rFonts w:hint="eastAsia" w:ascii="仿宋" w:hAnsi="仿宋" w:eastAsia="仿宋" w:cs="仿宋"/>
          <w:color w:val="auto"/>
          <w:kern w:val="2"/>
          <w:sz w:val="28"/>
          <w:szCs w:val="28"/>
        </w:rPr>
        <w:t>验收合格，逾期5日以上的；</w:t>
      </w:r>
    </w:p>
    <w:p w14:paraId="65B78B1C">
      <w:pPr>
        <w:pStyle w:val="4"/>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.2.3 乙方在施工过程中出现偷工减料或施工工序不符合质量要求，经甲方提出后3日内仍然拒不整改或整改2次后仍然不到位的；</w:t>
      </w:r>
    </w:p>
    <w:p w14:paraId="743B34AD">
      <w:pPr>
        <w:pStyle w:val="5"/>
        <w:pageBreakBefore w:val="0"/>
        <w:widowControl w:val="0"/>
        <w:kinsoku/>
        <w:wordWrap/>
        <w:overflowPunct/>
        <w:topLinePunct w:val="0"/>
        <w:bidi w:val="0"/>
        <w:snapToGrid/>
        <w:spacing w:line="48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.2.4 在质保期内，乙方施工项目出现质量问题，在甲方通知乙方时起5小时内没有完成检修、维护、修理超过3次的；</w:t>
      </w:r>
    </w:p>
    <w:p w14:paraId="4AC56072">
      <w:pPr>
        <w:pStyle w:val="2"/>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b/>
          <w:bCs/>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.2.5</w:t>
      </w: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rPr>
        <w:t>其他根本违约的情形。</w:t>
      </w:r>
    </w:p>
    <w:p w14:paraId="20136C44">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条 违约责任</w:t>
      </w:r>
    </w:p>
    <w:p w14:paraId="3BD6C6E8">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如乙方未在本合同约定期限内完成施工任务</w:t>
      </w:r>
      <w:r>
        <w:rPr>
          <w:rFonts w:hint="eastAsia" w:ascii="仿宋" w:hAnsi="仿宋" w:eastAsia="仿宋" w:cs="仿宋"/>
          <w:color w:val="auto"/>
          <w:sz w:val="28"/>
          <w:szCs w:val="28"/>
          <w:lang w:val="en-US" w:eastAsia="zh-CN"/>
        </w:rPr>
        <w:t>并通过</w:t>
      </w:r>
      <w:r>
        <w:rPr>
          <w:rFonts w:hint="eastAsia" w:ascii="仿宋" w:hAnsi="仿宋" w:eastAsia="仿宋" w:cs="仿宋"/>
          <w:color w:val="auto"/>
          <w:sz w:val="28"/>
          <w:szCs w:val="28"/>
        </w:rPr>
        <w:t>验收，每逾期一日，应向甲方支付违约金</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700.00</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元。</w:t>
      </w:r>
    </w:p>
    <w:p w14:paraId="096FED3B">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 如乙方擅自单方解除合同或因</w:t>
      </w:r>
      <w:r>
        <w:rPr>
          <w:rFonts w:hint="eastAsia" w:ascii="仿宋" w:hAnsi="仿宋" w:eastAsia="仿宋" w:cs="仿宋"/>
          <w:color w:val="auto"/>
          <w:sz w:val="28"/>
          <w:szCs w:val="28"/>
          <w:lang w:val="en-US" w:eastAsia="zh-CN"/>
        </w:rPr>
        <w:t>本合同13.2情形</w:t>
      </w:r>
      <w:r>
        <w:rPr>
          <w:rFonts w:hint="eastAsia" w:ascii="仿宋" w:hAnsi="仿宋" w:eastAsia="仿宋" w:cs="仿宋"/>
          <w:color w:val="auto"/>
          <w:sz w:val="28"/>
          <w:szCs w:val="28"/>
        </w:rPr>
        <w:t>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70000.00</w:t>
      </w:r>
      <w:r>
        <w:rPr>
          <w:rFonts w:hint="eastAsia" w:ascii="仿宋" w:hAnsi="仿宋" w:eastAsia="仿宋" w:cs="仿宋"/>
          <w:color w:val="auto"/>
          <w:sz w:val="28"/>
          <w:szCs w:val="28"/>
        </w:rPr>
        <w:t>元。</w:t>
      </w:r>
    </w:p>
    <w:p w14:paraId="56A2D6F6">
      <w:pPr>
        <w:pageBreakBefore w:val="0"/>
        <w:widowControl w:val="0"/>
        <w:kinsoku/>
        <w:wordWrap/>
        <w:overflowPunct/>
        <w:topLinePunct w:val="0"/>
        <w:bidi w:val="0"/>
        <w:snapToGrid/>
        <w:spacing w:line="480" w:lineRule="exact"/>
        <w:ind w:firstLine="562" w:firstLineChars="200"/>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14.3 无论甲方在任意时候（不限于本合同履行期间）发现存在违反本合同廉洁条款的行为，乙方均须向甲方一次性支付惩罚性违约金22000.00元。如乙方除需承担违反廉洁条款的违约责任外，同时存在其他违约行为，乙方仍须就其他违约行为承担相应违约责任。</w:t>
      </w:r>
    </w:p>
    <w:p w14:paraId="7C564BDD">
      <w:pPr>
        <w:pageBreakBefore w:val="0"/>
        <w:widowControl w:val="0"/>
        <w:kinsoku/>
        <w:wordWrap/>
        <w:overflowPunct/>
        <w:topLinePunct w:val="0"/>
        <w:bidi w:val="0"/>
        <w:snapToGrid/>
        <w:spacing w:line="480" w:lineRule="exact"/>
        <w:ind w:firstLine="562" w:firstLineChars="200"/>
        <w:rPr>
          <w:rFonts w:hint="default" w:ascii="仿宋" w:hAnsi="仿宋" w:eastAsia="仿宋" w:cs="仿宋"/>
          <w:b/>
          <w:bCs/>
          <w:color w:val="auto"/>
          <w:sz w:val="28"/>
          <w:szCs w:val="28"/>
          <w:u w:val="single"/>
          <w:lang w:val="en-US" w:eastAsia="zh-CN"/>
        </w:rPr>
      </w:pPr>
      <w:r>
        <w:rPr>
          <w:rFonts w:hint="default" w:ascii="仿宋" w:hAnsi="仿宋" w:eastAsia="仿宋" w:cs="仿宋"/>
          <w:b/>
          <w:bCs/>
          <w:color w:val="auto"/>
          <w:sz w:val="28"/>
          <w:szCs w:val="28"/>
          <w:u w:val="single"/>
          <w:lang w:val="en-US" w:eastAsia="zh-CN"/>
        </w:rPr>
        <w:t>14.</w:t>
      </w:r>
      <w:r>
        <w:rPr>
          <w:rFonts w:hint="eastAsia" w:ascii="仿宋" w:hAnsi="仿宋" w:eastAsia="仿宋" w:cs="仿宋"/>
          <w:b/>
          <w:bCs/>
          <w:color w:val="auto"/>
          <w:sz w:val="28"/>
          <w:szCs w:val="28"/>
          <w:u w:val="single"/>
          <w:lang w:val="en-US" w:eastAsia="zh-CN"/>
        </w:rPr>
        <w:t>4</w:t>
      </w:r>
      <w:r>
        <w:rPr>
          <w:rFonts w:hint="default" w:ascii="仿宋" w:hAnsi="仿宋" w:eastAsia="仿宋" w:cs="仿宋"/>
          <w:b/>
          <w:bCs/>
          <w:color w:val="auto"/>
          <w:sz w:val="28"/>
          <w:szCs w:val="28"/>
          <w:u w:val="single"/>
          <w:lang w:val="en-US" w:eastAsia="zh-CN"/>
        </w:rPr>
        <w:t xml:space="preserve"> 依据本合同约定乙方应支付给甲方的违约金，甲方有权在应支付给乙方的任意价款中直接予以扣除，如扣除部分不足，乙方应在接到甲方通知后3日内补足。</w:t>
      </w:r>
    </w:p>
    <w:p w14:paraId="3A3B158D">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争议解决</w:t>
      </w:r>
    </w:p>
    <w:p w14:paraId="180B42BF">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vertAlign w:val="baseline"/>
          <w:lang w:val="en-US" w:eastAsia="zh-CN"/>
        </w:rPr>
        <w:t>履行本合同发生的争议，双方应先协商解决，协商不成的，任意一方均可向甲方所在地有管辖权的人民法院提起诉讼。</w:t>
      </w:r>
    </w:p>
    <w:p w14:paraId="561BF999">
      <w:pPr>
        <w:pageBreakBefore w:val="0"/>
        <w:widowControl w:val="0"/>
        <w:kinsoku/>
        <w:wordWrap/>
        <w:overflowPunct/>
        <w:topLinePunct w:val="0"/>
        <w:bidi w:val="0"/>
        <w:snapToGrid/>
        <w:spacing w:line="480" w:lineRule="exact"/>
        <w:ind w:firstLine="562" w:firstLineChars="20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条 附则</w:t>
      </w:r>
    </w:p>
    <w:p w14:paraId="5A9CFD87">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本项目乙方响应文件的分项报价表、设计图、双方确定的施工图纸、工程量清单、安全技术规范要求的设计文件、预算书项目内容和技术资料、验收合格凭证、经双方签章确认的技术讨论纪要及乙方企业营业执照、压力管道安装资格资质证书（包括企业和维修人员）、法定代表人身份证复印件或授权委托书和委托代理人身份证复印件、班组综合管理制度等作为本合同附件。 </w:t>
      </w:r>
    </w:p>
    <w:p w14:paraId="4DFAD433">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本合同组成文件及解释顺序如下：</w:t>
      </w:r>
      <w:r>
        <w:rPr>
          <w:rFonts w:hint="eastAsia" w:ascii="仿宋_GB2312" w:hAnsi="仿宋_GB2312" w:eastAsia="仿宋_GB2312" w:cs="仿宋_GB2312"/>
          <w:color w:val="auto"/>
          <w:sz w:val="28"/>
          <w:szCs w:val="28"/>
          <w:vertAlign w:val="baseline"/>
          <w:lang w:val="en-US" w:eastAsia="zh-CN"/>
        </w:rPr>
        <w:t>乙方在履行本合同中作出的书面承诺；本合同补充协议；本合同及附件；中标通知书/成交通知书/议价结果公示/成交公告；投标文件/响应文件；招标文件/采购文件/采购需求；其他与本合同有关的资料。</w:t>
      </w:r>
    </w:p>
    <w:p w14:paraId="4FC992D9">
      <w:pPr>
        <w:pageBreakBefore w:val="0"/>
        <w:widowControl w:val="0"/>
        <w:kinsoku/>
        <w:wordWrap/>
        <w:overflowPunct/>
        <w:topLinePunct w:val="0"/>
        <w:bidi w:val="0"/>
        <w:snapToGrid/>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本合同一式五份，甲方执四份、乙方执一份，自双方签字并盖章时生效。</w:t>
      </w:r>
    </w:p>
    <w:p w14:paraId="757251D6">
      <w:pPr>
        <w:keepNext w:val="0"/>
        <w:keepLines w:val="0"/>
        <w:pageBreakBefore w:val="0"/>
        <w:widowControl w:val="0"/>
        <w:kinsoku/>
        <w:wordWrap/>
        <w:overflowPunct/>
        <w:topLinePunct w:val="0"/>
        <w:autoSpaceDE/>
        <w:autoSpaceDN/>
        <w:bidi w:val="0"/>
        <w:adjustRightInd/>
        <w:snapToGrid/>
        <w:spacing w:line="420" w:lineRule="exact"/>
        <w:ind w:firstLine="0" w:firstLineChars="0"/>
        <w:jc w:val="left"/>
        <w:textAlignment w:val="auto"/>
        <w:rPr>
          <w:rFonts w:hint="eastAsia" w:ascii="仿宋" w:hAnsi="仿宋" w:eastAsia="仿宋" w:cs="仿宋"/>
          <w:color w:val="auto"/>
          <w:sz w:val="28"/>
          <w:szCs w:val="28"/>
        </w:rPr>
      </w:pPr>
    </w:p>
    <w:p w14:paraId="42911BAA">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乙方（盖章）：    </w:t>
      </w:r>
    </w:p>
    <w:p w14:paraId="2E7186F0">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p>
    <w:p w14:paraId="4121D6DB">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法定代表人（签字）：            法定代表人（签字）：           </w:t>
      </w:r>
    </w:p>
    <w:p w14:paraId="14CB5428">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p>
    <w:p w14:paraId="17F16F96">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或委托代理人（签字）：          或委托代理人（签字）：</w:t>
      </w:r>
    </w:p>
    <w:p w14:paraId="3F6C7F31">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rPr>
        <w:t>签订地点：娄底市娄星区          签订时间：    年  月  日</w:t>
      </w:r>
    </w:p>
    <w:p w14:paraId="5127FCDA">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宋体" w:hAnsi="宋体" w:cs="宋体"/>
          <w:color w:val="auto"/>
          <w:sz w:val="44"/>
          <w:szCs w:val="44"/>
          <w:lang w:val="en-US" w:eastAsia="zh-CN"/>
        </w:rPr>
      </w:pPr>
      <w:r>
        <w:rPr>
          <w:rFonts w:hint="eastAsia" w:ascii="仿宋" w:hAnsi="仿宋" w:eastAsia="仿宋" w:cs="仿宋"/>
          <w:b w:val="0"/>
          <w:bCs/>
          <w:color w:val="auto"/>
          <w:sz w:val="28"/>
          <w:szCs w:val="28"/>
        </w:rPr>
        <w:t xml:space="preserve">                                            </w:t>
      </w:r>
    </w:p>
    <w:p w14:paraId="51B58A3D">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65ABA312">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587CD0DA">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D1CC2DB">
      <w:pPr>
        <w:rPr>
          <w:rFonts w:hint="eastAsia" w:ascii="宋体" w:hAnsi="宋体" w:cs="宋体"/>
          <w:color w:val="auto"/>
        </w:rPr>
      </w:pPr>
    </w:p>
    <w:bookmarkEnd w:id="1"/>
    <w:p w14:paraId="525371C8">
      <w:pPr>
        <w:rPr>
          <w:rFonts w:hint="eastAsia"/>
          <w:color w:val="auto"/>
        </w:rPr>
      </w:pPr>
    </w:p>
    <w:p w14:paraId="5B4F5A26">
      <w:pPr>
        <w:jc w:val="center"/>
        <w:rPr>
          <w:b/>
          <w:color w:val="auto"/>
          <w:sz w:val="24"/>
        </w:rPr>
      </w:pPr>
      <w:r>
        <w:rPr>
          <w:b/>
          <w:color w:val="auto"/>
          <w:sz w:val="28"/>
          <w:szCs w:val="28"/>
        </w:rPr>
        <w:t>第一部分、开标一览表</w:t>
      </w:r>
    </w:p>
    <w:p w14:paraId="7A5E9C12">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58F62CC3">
      <w:pPr>
        <w:pStyle w:val="15"/>
        <w:rPr>
          <w:color w:val="auto"/>
        </w:rPr>
      </w:pPr>
    </w:p>
    <w:p w14:paraId="081CC74D">
      <w:pPr>
        <w:adjustRightInd w:val="0"/>
        <w:snapToGrid w:val="0"/>
        <w:spacing w:line="360" w:lineRule="auto"/>
        <w:jc w:val="center"/>
        <w:rPr>
          <w:rFonts w:hint="eastAsia" w:ascii="宋体" w:hAnsi="宋体" w:cs="宋体"/>
          <w:b/>
          <w:color w:val="auto"/>
          <w:sz w:val="28"/>
          <w:szCs w:val="28"/>
        </w:rPr>
      </w:pPr>
    </w:p>
    <w:p w14:paraId="0636E990">
      <w:pPr>
        <w:adjustRightInd w:val="0"/>
        <w:snapToGrid w:val="0"/>
        <w:spacing w:line="360" w:lineRule="auto"/>
        <w:jc w:val="center"/>
        <w:rPr>
          <w:rFonts w:hint="eastAsia" w:ascii="宋体" w:hAnsi="宋体" w:cs="宋体"/>
          <w:b/>
          <w:color w:val="auto"/>
          <w:sz w:val="28"/>
          <w:szCs w:val="28"/>
        </w:rPr>
      </w:pPr>
    </w:p>
    <w:p w14:paraId="0480AB6C">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2743C369">
      <w:pPr>
        <w:pStyle w:val="16"/>
        <w:rPr>
          <w:rFonts w:hint="eastAsia"/>
          <w:color w:val="auto"/>
          <w:lang w:eastAsia="zh-CN"/>
        </w:rPr>
      </w:pPr>
    </w:p>
    <w:p w14:paraId="11309D0E">
      <w:pPr>
        <w:adjustRightInd w:val="0"/>
        <w:snapToGrid w:val="0"/>
        <w:spacing w:line="360" w:lineRule="auto"/>
        <w:jc w:val="center"/>
        <w:rPr>
          <w:rFonts w:hint="eastAsia" w:ascii="宋体" w:hAnsi="宋体" w:cs="宋体"/>
          <w:b/>
          <w:color w:val="auto"/>
          <w:sz w:val="24"/>
          <w:szCs w:val="20"/>
        </w:rPr>
      </w:pPr>
    </w:p>
    <w:p w14:paraId="2A29350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86A6D5A">
      <w:pPr>
        <w:adjustRightInd w:val="0"/>
        <w:snapToGrid w:val="0"/>
        <w:spacing w:line="360" w:lineRule="auto"/>
        <w:rPr>
          <w:rFonts w:hint="eastAsia" w:ascii="宋体" w:hAnsi="宋体" w:cs="宋体"/>
          <w:b/>
          <w:color w:val="auto"/>
          <w:sz w:val="28"/>
          <w:szCs w:val="28"/>
        </w:rPr>
      </w:pPr>
    </w:p>
    <w:p w14:paraId="27801680">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5379995">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C7AD3F">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F1549EF">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8CBBD1B">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0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A120AD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45A17926">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F4F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DD4899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FF44416">
      <w:pPr>
        <w:adjustRightInd w:val="0"/>
        <w:snapToGrid w:val="0"/>
        <w:spacing w:line="360" w:lineRule="auto"/>
        <w:rPr>
          <w:rFonts w:hint="eastAsia" w:ascii="宋体" w:hAnsi="宋体" w:cs="宋体"/>
          <w:color w:val="auto"/>
          <w:sz w:val="24"/>
        </w:rPr>
      </w:pPr>
    </w:p>
    <w:p w14:paraId="17C78871">
      <w:pPr>
        <w:adjustRightInd w:val="0"/>
        <w:snapToGrid w:val="0"/>
        <w:spacing w:line="360" w:lineRule="auto"/>
        <w:rPr>
          <w:rFonts w:hint="eastAsia" w:ascii="宋体" w:hAnsi="宋体" w:cs="宋体"/>
          <w:color w:val="auto"/>
          <w:sz w:val="24"/>
        </w:rPr>
      </w:pPr>
    </w:p>
    <w:p w14:paraId="09B6D574">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7289C39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84EA7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301065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46C5583">
      <w:pPr>
        <w:adjustRightInd w:val="0"/>
        <w:snapToGrid w:val="0"/>
        <w:spacing w:line="360" w:lineRule="auto"/>
        <w:rPr>
          <w:rFonts w:hint="eastAsia" w:ascii="宋体" w:hAnsi="宋体" w:cs="宋体"/>
          <w:b/>
          <w:color w:val="auto"/>
          <w:sz w:val="28"/>
          <w:szCs w:val="28"/>
        </w:rPr>
      </w:pPr>
    </w:p>
    <w:p w14:paraId="2D852EFE">
      <w:pPr>
        <w:adjustRightInd w:val="0"/>
        <w:snapToGrid w:val="0"/>
        <w:spacing w:line="360" w:lineRule="auto"/>
        <w:rPr>
          <w:rFonts w:hint="eastAsia" w:ascii="宋体" w:hAnsi="宋体" w:cs="宋体"/>
          <w:b/>
          <w:color w:val="auto"/>
          <w:sz w:val="28"/>
          <w:szCs w:val="28"/>
        </w:rPr>
      </w:pPr>
    </w:p>
    <w:p w14:paraId="42B7681A">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0309C581">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827061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6DE4FD7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358B85C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EA6698A">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3FD83E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5DD0949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C81402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167357E7">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227A9F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BE59F95">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6C2760BD">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7997553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61E4ED8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2FF66BFB">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8D9F8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920881B">
      <w:pPr>
        <w:adjustRightInd w:val="0"/>
        <w:snapToGrid w:val="0"/>
        <w:spacing w:line="360" w:lineRule="auto"/>
        <w:jc w:val="center"/>
        <w:rPr>
          <w:rFonts w:hint="eastAsia" w:ascii="宋体" w:hAnsi="宋体" w:cs="宋体"/>
          <w:b/>
          <w:color w:val="auto"/>
          <w:sz w:val="24"/>
          <w:szCs w:val="20"/>
        </w:rPr>
      </w:pPr>
    </w:p>
    <w:p w14:paraId="28621675">
      <w:pPr>
        <w:adjustRightInd w:val="0"/>
        <w:snapToGrid w:val="0"/>
        <w:spacing w:line="360" w:lineRule="auto"/>
        <w:rPr>
          <w:rFonts w:hint="eastAsia" w:ascii="宋体" w:hAnsi="宋体" w:cs="宋体"/>
          <w:b/>
          <w:color w:val="auto"/>
          <w:sz w:val="24"/>
          <w:szCs w:val="20"/>
        </w:rPr>
      </w:pPr>
    </w:p>
    <w:p w14:paraId="1A2D4034">
      <w:pPr>
        <w:adjustRightInd w:val="0"/>
        <w:snapToGrid w:val="0"/>
        <w:spacing w:line="360" w:lineRule="auto"/>
        <w:rPr>
          <w:rFonts w:hint="eastAsia" w:ascii="宋体" w:hAnsi="宋体" w:cs="宋体"/>
          <w:b/>
          <w:color w:val="auto"/>
          <w:sz w:val="24"/>
          <w:szCs w:val="20"/>
        </w:rPr>
      </w:pPr>
    </w:p>
    <w:p w14:paraId="694B3982">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3791DB80">
      <w:pPr>
        <w:adjustRightInd w:val="0"/>
        <w:snapToGrid w:val="0"/>
        <w:spacing w:line="360" w:lineRule="auto"/>
        <w:jc w:val="center"/>
        <w:rPr>
          <w:rFonts w:hint="eastAsia" w:ascii="宋体" w:hAnsi="宋体" w:cs="宋体"/>
          <w:b/>
          <w:color w:val="auto"/>
          <w:sz w:val="24"/>
          <w:szCs w:val="20"/>
        </w:rPr>
      </w:pPr>
    </w:p>
    <w:p w14:paraId="0C54B22E">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316DD808">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4B7B96FE">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2135998C">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0AA7669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600DF1C1">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0CF104FA">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0DE0433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1D8E10EE">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6CCCF31D">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00257F3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41F99C7F">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6B6D4C02">
      <w:pPr>
        <w:jc w:val="left"/>
        <w:rPr>
          <w:rFonts w:hint="eastAsia" w:ascii="宋体" w:hAnsi="宋体" w:eastAsia="宋体" w:cs="Times New Roman"/>
          <w:b w:val="0"/>
          <w:bCs w:val="0"/>
          <w:color w:val="auto"/>
          <w:kern w:val="2"/>
          <w:sz w:val="24"/>
          <w:szCs w:val="24"/>
          <w:lang w:val="en-US" w:eastAsia="zh-CN" w:bidi="ar-SA"/>
        </w:rPr>
      </w:pPr>
    </w:p>
    <w:p w14:paraId="56329B12">
      <w:pPr>
        <w:jc w:val="left"/>
        <w:rPr>
          <w:rFonts w:hint="eastAsia" w:ascii="宋体" w:hAnsi="宋体" w:eastAsia="宋体" w:cs="Times New Roman"/>
          <w:b w:val="0"/>
          <w:bCs w:val="0"/>
          <w:color w:val="auto"/>
          <w:kern w:val="2"/>
          <w:sz w:val="24"/>
          <w:szCs w:val="24"/>
          <w:lang w:val="en-US" w:eastAsia="zh-CN" w:bidi="ar-SA"/>
        </w:rPr>
      </w:pPr>
    </w:p>
    <w:p w14:paraId="2A966CB0">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0E0EC1BC">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4832A4F">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35DBF084">
      <w:pPr>
        <w:pStyle w:val="16"/>
        <w:rPr>
          <w:rFonts w:hint="eastAsia"/>
          <w:color w:val="auto"/>
          <w:lang w:eastAsia="zh-CN"/>
        </w:rPr>
      </w:pPr>
    </w:p>
    <w:p w14:paraId="34A61515">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09FDC2B">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4F59A9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53F3B0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1FC7876">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7B870A3C">
            <w:pPr>
              <w:adjustRightInd w:val="0"/>
              <w:snapToGrid w:val="0"/>
              <w:spacing w:before="50" w:line="360" w:lineRule="auto"/>
              <w:jc w:val="center"/>
              <w:rPr>
                <w:color w:val="auto"/>
              </w:rPr>
            </w:pPr>
            <w:r>
              <w:rPr>
                <w:color w:val="auto"/>
              </w:rPr>
              <w:t>招标文件要求</w:t>
            </w:r>
          </w:p>
        </w:tc>
        <w:tc>
          <w:tcPr>
            <w:tcW w:w="962" w:type="pct"/>
            <w:noWrap w:val="0"/>
            <w:vAlign w:val="top"/>
          </w:tcPr>
          <w:p w14:paraId="3DB812E4">
            <w:pPr>
              <w:adjustRightInd w:val="0"/>
              <w:snapToGrid w:val="0"/>
              <w:spacing w:before="50" w:line="360" w:lineRule="auto"/>
              <w:jc w:val="center"/>
              <w:rPr>
                <w:color w:val="auto"/>
              </w:rPr>
            </w:pPr>
            <w:r>
              <w:rPr>
                <w:color w:val="auto"/>
              </w:rPr>
              <w:t>投标文件应答</w:t>
            </w:r>
          </w:p>
        </w:tc>
        <w:tc>
          <w:tcPr>
            <w:tcW w:w="905" w:type="pct"/>
            <w:noWrap w:val="0"/>
            <w:vAlign w:val="center"/>
          </w:tcPr>
          <w:p w14:paraId="4A4291F9">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1AEB67C4">
            <w:pPr>
              <w:adjustRightInd w:val="0"/>
              <w:snapToGrid w:val="0"/>
              <w:spacing w:before="50" w:line="360" w:lineRule="auto"/>
              <w:ind w:left="-88" w:leftChars="-42"/>
              <w:jc w:val="center"/>
              <w:rPr>
                <w:color w:val="auto"/>
                <w:szCs w:val="21"/>
              </w:rPr>
            </w:pPr>
            <w:r>
              <w:rPr>
                <w:color w:val="auto"/>
                <w:szCs w:val="21"/>
              </w:rPr>
              <w:t>偏离说明</w:t>
            </w:r>
          </w:p>
        </w:tc>
      </w:tr>
      <w:tr w14:paraId="6C2FFC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374D276">
            <w:pPr>
              <w:adjustRightInd w:val="0"/>
              <w:snapToGrid w:val="0"/>
              <w:spacing w:before="50" w:line="360" w:lineRule="auto"/>
              <w:ind w:left="-88" w:leftChars="-42"/>
              <w:jc w:val="center"/>
              <w:rPr>
                <w:color w:val="auto"/>
                <w:szCs w:val="21"/>
              </w:rPr>
            </w:pPr>
          </w:p>
        </w:tc>
        <w:tc>
          <w:tcPr>
            <w:tcW w:w="1123" w:type="pct"/>
            <w:noWrap w:val="0"/>
            <w:vAlign w:val="center"/>
          </w:tcPr>
          <w:p w14:paraId="5F432306">
            <w:pPr>
              <w:adjustRightInd w:val="0"/>
              <w:snapToGrid w:val="0"/>
              <w:spacing w:before="50" w:line="360" w:lineRule="auto"/>
              <w:ind w:left="-88" w:leftChars="-42"/>
              <w:jc w:val="center"/>
              <w:rPr>
                <w:color w:val="auto"/>
                <w:szCs w:val="21"/>
              </w:rPr>
            </w:pPr>
          </w:p>
        </w:tc>
        <w:tc>
          <w:tcPr>
            <w:tcW w:w="1000" w:type="pct"/>
            <w:noWrap w:val="0"/>
            <w:vAlign w:val="center"/>
          </w:tcPr>
          <w:p w14:paraId="302D6CCD">
            <w:pPr>
              <w:adjustRightInd w:val="0"/>
              <w:snapToGrid w:val="0"/>
              <w:spacing w:before="50" w:line="360" w:lineRule="auto"/>
              <w:ind w:left="-88" w:leftChars="-42"/>
              <w:jc w:val="center"/>
              <w:rPr>
                <w:color w:val="auto"/>
                <w:szCs w:val="21"/>
              </w:rPr>
            </w:pPr>
          </w:p>
        </w:tc>
        <w:tc>
          <w:tcPr>
            <w:tcW w:w="962" w:type="pct"/>
            <w:noWrap w:val="0"/>
            <w:vAlign w:val="center"/>
          </w:tcPr>
          <w:p w14:paraId="2AF3322E">
            <w:pPr>
              <w:adjustRightInd w:val="0"/>
              <w:snapToGrid w:val="0"/>
              <w:spacing w:before="50" w:line="360" w:lineRule="auto"/>
              <w:ind w:left="-88" w:leftChars="-42"/>
              <w:jc w:val="center"/>
              <w:rPr>
                <w:color w:val="auto"/>
                <w:szCs w:val="21"/>
              </w:rPr>
            </w:pPr>
          </w:p>
        </w:tc>
        <w:tc>
          <w:tcPr>
            <w:tcW w:w="905" w:type="pct"/>
            <w:noWrap w:val="0"/>
            <w:vAlign w:val="center"/>
          </w:tcPr>
          <w:p w14:paraId="77FDC022">
            <w:pPr>
              <w:adjustRightInd w:val="0"/>
              <w:snapToGrid w:val="0"/>
              <w:spacing w:before="50" w:line="360" w:lineRule="auto"/>
              <w:ind w:left="-88" w:leftChars="-42"/>
              <w:jc w:val="center"/>
              <w:rPr>
                <w:color w:val="auto"/>
                <w:szCs w:val="21"/>
              </w:rPr>
            </w:pPr>
          </w:p>
        </w:tc>
        <w:tc>
          <w:tcPr>
            <w:tcW w:w="634" w:type="pct"/>
            <w:noWrap w:val="0"/>
            <w:vAlign w:val="center"/>
          </w:tcPr>
          <w:p w14:paraId="632C9855">
            <w:pPr>
              <w:adjustRightInd w:val="0"/>
              <w:snapToGrid w:val="0"/>
              <w:spacing w:before="50" w:line="360" w:lineRule="auto"/>
              <w:ind w:left="-88" w:leftChars="-42"/>
              <w:jc w:val="center"/>
              <w:rPr>
                <w:color w:val="auto"/>
                <w:szCs w:val="21"/>
              </w:rPr>
            </w:pPr>
          </w:p>
        </w:tc>
      </w:tr>
      <w:tr w14:paraId="6BB71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B1ED974">
            <w:pPr>
              <w:adjustRightInd w:val="0"/>
              <w:snapToGrid w:val="0"/>
              <w:spacing w:before="50" w:line="360" w:lineRule="auto"/>
              <w:ind w:left="-88" w:leftChars="-42"/>
              <w:jc w:val="center"/>
              <w:rPr>
                <w:color w:val="auto"/>
                <w:szCs w:val="21"/>
              </w:rPr>
            </w:pPr>
          </w:p>
        </w:tc>
        <w:tc>
          <w:tcPr>
            <w:tcW w:w="1123" w:type="pct"/>
            <w:noWrap w:val="0"/>
            <w:vAlign w:val="center"/>
          </w:tcPr>
          <w:p w14:paraId="04B0F356">
            <w:pPr>
              <w:adjustRightInd w:val="0"/>
              <w:snapToGrid w:val="0"/>
              <w:spacing w:before="50" w:line="360" w:lineRule="auto"/>
              <w:ind w:left="-88" w:leftChars="-42"/>
              <w:jc w:val="center"/>
              <w:rPr>
                <w:color w:val="auto"/>
                <w:szCs w:val="21"/>
              </w:rPr>
            </w:pPr>
          </w:p>
        </w:tc>
        <w:tc>
          <w:tcPr>
            <w:tcW w:w="1000" w:type="pct"/>
            <w:noWrap w:val="0"/>
            <w:vAlign w:val="center"/>
          </w:tcPr>
          <w:p w14:paraId="3971AD9F">
            <w:pPr>
              <w:adjustRightInd w:val="0"/>
              <w:snapToGrid w:val="0"/>
              <w:spacing w:before="50" w:line="360" w:lineRule="auto"/>
              <w:ind w:left="-88" w:leftChars="-42"/>
              <w:jc w:val="center"/>
              <w:rPr>
                <w:color w:val="auto"/>
                <w:szCs w:val="21"/>
              </w:rPr>
            </w:pPr>
          </w:p>
        </w:tc>
        <w:tc>
          <w:tcPr>
            <w:tcW w:w="962" w:type="pct"/>
            <w:noWrap w:val="0"/>
            <w:vAlign w:val="center"/>
          </w:tcPr>
          <w:p w14:paraId="600BEC9F">
            <w:pPr>
              <w:adjustRightInd w:val="0"/>
              <w:snapToGrid w:val="0"/>
              <w:spacing w:before="50" w:line="360" w:lineRule="auto"/>
              <w:ind w:left="-88" w:leftChars="-42"/>
              <w:jc w:val="center"/>
              <w:rPr>
                <w:color w:val="auto"/>
                <w:szCs w:val="21"/>
              </w:rPr>
            </w:pPr>
          </w:p>
        </w:tc>
        <w:tc>
          <w:tcPr>
            <w:tcW w:w="905" w:type="pct"/>
            <w:noWrap w:val="0"/>
            <w:vAlign w:val="center"/>
          </w:tcPr>
          <w:p w14:paraId="6E6A8E55">
            <w:pPr>
              <w:adjustRightInd w:val="0"/>
              <w:snapToGrid w:val="0"/>
              <w:spacing w:before="50" w:line="360" w:lineRule="auto"/>
              <w:ind w:left="-88" w:leftChars="-42"/>
              <w:jc w:val="center"/>
              <w:rPr>
                <w:color w:val="auto"/>
                <w:szCs w:val="21"/>
              </w:rPr>
            </w:pPr>
          </w:p>
        </w:tc>
        <w:tc>
          <w:tcPr>
            <w:tcW w:w="634" w:type="pct"/>
            <w:noWrap w:val="0"/>
            <w:vAlign w:val="center"/>
          </w:tcPr>
          <w:p w14:paraId="28408A73">
            <w:pPr>
              <w:adjustRightInd w:val="0"/>
              <w:snapToGrid w:val="0"/>
              <w:spacing w:before="50" w:line="360" w:lineRule="auto"/>
              <w:ind w:left="-88" w:leftChars="-42"/>
              <w:jc w:val="center"/>
              <w:rPr>
                <w:color w:val="auto"/>
                <w:szCs w:val="21"/>
              </w:rPr>
            </w:pPr>
          </w:p>
        </w:tc>
      </w:tr>
      <w:tr w14:paraId="4F5E7F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81BEE06">
            <w:pPr>
              <w:adjustRightInd w:val="0"/>
              <w:snapToGrid w:val="0"/>
              <w:spacing w:before="50" w:line="360" w:lineRule="auto"/>
              <w:ind w:left="-88" w:leftChars="-42"/>
              <w:jc w:val="center"/>
              <w:rPr>
                <w:color w:val="auto"/>
                <w:szCs w:val="21"/>
              </w:rPr>
            </w:pPr>
          </w:p>
        </w:tc>
        <w:tc>
          <w:tcPr>
            <w:tcW w:w="1123" w:type="pct"/>
            <w:noWrap w:val="0"/>
            <w:vAlign w:val="center"/>
          </w:tcPr>
          <w:p w14:paraId="5AF39897">
            <w:pPr>
              <w:adjustRightInd w:val="0"/>
              <w:snapToGrid w:val="0"/>
              <w:spacing w:before="50" w:line="360" w:lineRule="auto"/>
              <w:ind w:left="-88" w:leftChars="-42"/>
              <w:jc w:val="center"/>
              <w:rPr>
                <w:color w:val="auto"/>
                <w:szCs w:val="21"/>
              </w:rPr>
            </w:pPr>
          </w:p>
        </w:tc>
        <w:tc>
          <w:tcPr>
            <w:tcW w:w="1000" w:type="pct"/>
            <w:noWrap w:val="0"/>
            <w:vAlign w:val="center"/>
          </w:tcPr>
          <w:p w14:paraId="7C0DBAE8">
            <w:pPr>
              <w:adjustRightInd w:val="0"/>
              <w:snapToGrid w:val="0"/>
              <w:spacing w:before="50" w:line="360" w:lineRule="auto"/>
              <w:ind w:left="-88" w:leftChars="-42"/>
              <w:jc w:val="center"/>
              <w:rPr>
                <w:color w:val="auto"/>
                <w:szCs w:val="21"/>
              </w:rPr>
            </w:pPr>
          </w:p>
        </w:tc>
        <w:tc>
          <w:tcPr>
            <w:tcW w:w="962" w:type="pct"/>
            <w:noWrap w:val="0"/>
            <w:vAlign w:val="center"/>
          </w:tcPr>
          <w:p w14:paraId="1B42BDEB">
            <w:pPr>
              <w:adjustRightInd w:val="0"/>
              <w:snapToGrid w:val="0"/>
              <w:spacing w:before="50" w:line="360" w:lineRule="auto"/>
              <w:ind w:left="-88" w:leftChars="-42"/>
              <w:jc w:val="center"/>
              <w:rPr>
                <w:color w:val="auto"/>
                <w:szCs w:val="21"/>
              </w:rPr>
            </w:pPr>
          </w:p>
        </w:tc>
        <w:tc>
          <w:tcPr>
            <w:tcW w:w="905" w:type="pct"/>
            <w:noWrap w:val="0"/>
            <w:vAlign w:val="center"/>
          </w:tcPr>
          <w:p w14:paraId="786A8F28">
            <w:pPr>
              <w:adjustRightInd w:val="0"/>
              <w:snapToGrid w:val="0"/>
              <w:spacing w:before="50" w:line="360" w:lineRule="auto"/>
              <w:ind w:left="-88" w:leftChars="-42"/>
              <w:jc w:val="center"/>
              <w:rPr>
                <w:color w:val="auto"/>
                <w:szCs w:val="21"/>
              </w:rPr>
            </w:pPr>
          </w:p>
        </w:tc>
        <w:tc>
          <w:tcPr>
            <w:tcW w:w="634" w:type="pct"/>
            <w:noWrap w:val="0"/>
            <w:vAlign w:val="center"/>
          </w:tcPr>
          <w:p w14:paraId="517B0535">
            <w:pPr>
              <w:adjustRightInd w:val="0"/>
              <w:snapToGrid w:val="0"/>
              <w:spacing w:before="50" w:line="360" w:lineRule="auto"/>
              <w:ind w:left="-88" w:leftChars="-42"/>
              <w:jc w:val="center"/>
              <w:rPr>
                <w:color w:val="auto"/>
                <w:szCs w:val="21"/>
              </w:rPr>
            </w:pPr>
          </w:p>
        </w:tc>
      </w:tr>
      <w:tr w14:paraId="1AB766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4F5A6232">
            <w:pPr>
              <w:rPr>
                <w:b/>
                <w:color w:val="auto"/>
              </w:rPr>
            </w:pPr>
            <w:r>
              <w:rPr>
                <w:b/>
                <w:color w:val="auto"/>
              </w:rPr>
              <w:t>投标人保证：我单位对招标文件的其他采购需求条款完全响应，无偏离。</w:t>
            </w:r>
          </w:p>
        </w:tc>
      </w:tr>
    </w:tbl>
    <w:p w14:paraId="0002A5C3">
      <w:pPr>
        <w:adjustRightInd w:val="0"/>
        <w:snapToGrid w:val="0"/>
        <w:spacing w:before="50" w:line="360" w:lineRule="auto"/>
        <w:ind w:left="-88" w:leftChars="-42"/>
        <w:rPr>
          <w:color w:val="auto"/>
          <w:sz w:val="24"/>
        </w:rPr>
      </w:pPr>
      <w:r>
        <w:rPr>
          <w:b/>
          <w:color w:val="auto"/>
          <w:sz w:val="24"/>
        </w:rPr>
        <w:t>备注</w:t>
      </w:r>
      <w:r>
        <w:rPr>
          <w:color w:val="auto"/>
          <w:sz w:val="24"/>
        </w:rPr>
        <w:t>：</w:t>
      </w:r>
    </w:p>
    <w:p w14:paraId="151A8D5A">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113C4C8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5288460F">
      <w:pPr>
        <w:pStyle w:val="15"/>
        <w:rPr>
          <w:color w:val="auto"/>
        </w:rPr>
      </w:pPr>
    </w:p>
    <w:p w14:paraId="405B861B">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5EBBC1F9">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5B417E8B">
      <w:pPr>
        <w:pStyle w:val="15"/>
        <w:rPr>
          <w:color w:val="auto"/>
        </w:rPr>
      </w:pPr>
    </w:p>
    <w:p w14:paraId="1DDDC902">
      <w:pPr>
        <w:pStyle w:val="15"/>
        <w:rPr>
          <w:color w:val="auto"/>
        </w:rPr>
      </w:pPr>
    </w:p>
    <w:p w14:paraId="2282B850">
      <w:pPr>
        <w:pStyle w:val="15"/>
        <w:rPr>
          <w:color w:val="auto"/>
        </w:rPr>
      </w:pPr>
    </w:p>
    <w:p w14:paraId="1D8D98BE">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2A103650">
      <w:pPr>
        <w:rPr>
          <w:color w:val="auto"/>
        </w:rPr>
      </w:pPr>
    </w:p>
    <w:p w14:paraId="68485DE2">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2C9A6">
    <w:pPr>
      <w:pStyle w:val="9"/>
      <w:rPr>
        <w:rFonts w:hint="eastAsia" w:ascii="仿宋_GB2312" w:eastAsia="仿宋_GB2312"/>
        <w:bCs/>
        <w:u w:val="single"/>
      </w:rPr>
    </w:pPr>
    <w:r>
      <w:rPr>
        <w:rFonts w:hint="eastAsia" w:ascii="仿宋_GB2312" w:eastAsia="仿宋_GB2312"/>
        <w:bCs/>
        <w:u w:val="single"/>
      </w:rPr>
      <w:t xml:space="preserve">                                                                                                 </w:t>
    </w:r>
  </w:p>
  <w:p w14:paraId="15670C6D">
    <w:pPr>
      <w:adjustRightInd w:val="0"/>
      <w:snapToGrid w:val="0"/>
      <w:spacing w:line="260" w:lineRule="atLeast"/>
      <w:ind w:left="482" w:hanging="482"/>
      <w:rPr>
        <w:rFonts w:hint="eastAsia" w:ascii="宋体" w:hAnsi="宋体"/>
        <w:kern w:val="0"/>
        <w:sz w:val="18"/>
        <w:szCs w:val="21"/>
      </w:rPr>
    </w:pPr>
  </w:p>
  <w:p w14:paraId="0F5ECB98">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4058D">
    <w:pPr>
      <w:pStyle w:val="9"/>
      <w:rPr>
        <w:rFonts w:hint="eastAsia" w:ascii="仿宋_GB2312" w:eastAsia="仿宋_GB2312"/>
        <w:bCs/>
        <w:u w:val="single"/>
      </w:rPr>
    </w:pPr>
    <w:r>
      <w:rPr>
        <w:rFonts w:hint="eastAsia" w:ascii="仿宋_GB2312" w:eastAsia="仿宋_GB2312"/>
        <w:bCs/>
        <w:u w:val="single"/>
      </w:rPr>
      <w:t xml:space="preserve">                                                                                                 </w:t>
    </w:r>
  </w:p>
  <w:p w14:paraId="7B37D003">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2F3F1">
    <w:pPr>
      <w:pStyle w:val="9"/>
      <w:rPr>
        <w:rFonts w:hint="eastAsia" w:ascii="仿宋_GB2312" w:eastAsia="仿宋_GB2312"/>
        <w:bCs/>
        <w:u w:val="single"/>
      </w:rPr>
    </w:pPr>
    <w:r>
      <w:rPr>
        <w:rFonts w:hint="eastAsia" w:ascii="仿宋_GB2312" w:eastAsia="仿宋_GB2312"/>
        <w:bCs/>
        <w:u w:val="single"/>
      </w:rPr>
      <w:t xml:space="preserve">                                                                                                 </w:t>
    </w:r>
  </w:p>
  <w:p w14:paraId="4CBA5AA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A55CD">
    <w:pPr>
      <w:pStyle w:val="10"/>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A27CE"/>
    <w:rsid w:val="0B21104E"/>
    <w:rsid w:val="0EE02FCE"/>
    <w:rsid w:val="12BC2394"/>
    <w:rsid w:val="198D16D6"/>
    <w:rsid w:val="22F17100"/>
    <w:rsid w:val="293D4E4D"/>
    <w:rsid w:val="305A27CE"/>
    <w:rsid w:val="36C95F72"/>
    <w:rsid w:val="39C649EB"/>
    <w:rsid w:val="42107AA8"/>
    <w:rsid w:val="48BF3D66"/>
    <w:rsid w:val="4CA23096"/>
    <w:rsid w:val="57B303FC"/>
    <w:rsid w:val="5D2B2C34"/>
    <w:rsid w:val="5EC21376"/>
    <w:rsid w:val="6A2E5B11"/>
    <w:rsid w:val="7896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customStyle="1" w:styleId="14">
    <w:name w:val="合同"/>
    <w:basedOn w:val="1"/>
    <w:qFormat/>
    <w:uiPriority w:val="99"/>
    <w:pPr>
      <w:ind w:firstLine="560" w:firstLineChars="200"/>
    </w:pPr>
    <w:rPr>
      <w:sz w:val="28"/>
      <w:szCs w:val="28"/>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9218</Words>
  <Characters>9707</Characters>
  <Lines>0</Lines>
  <Paragraphs>0</Paragraphs>
  <TotalTime>0</TotalTime>
  <ScaleCrop>false</ScaleCrop>
  <LinksUpToDate>false</LinksUpToDate>
  <CharactersWithSpaces>10666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2025-12-23T06:56:00Z</dcterms:created>
  <dc:creator>是小豹子</dc:creator>
  <cp:lastModifiedBy>是小豹子</cp:lastModifiedBy>
  <dcterms:modified xsi:type="dcterms:W3CDTF">2026-01-04T09:02:06Z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D9C4BDF4BC954DD3826A3F23D861CC6D_13</vt:lpwstr>
  </property>
  <property fmtid="{D5CDD505-2E9C-101B-9397-08002B2CF9AE}" pid="4" name="KSOTemplateDocerSaveRecord">
    <vt:lpwstr>eyJoZGlkIjoiMjI0YzkyZjA4NDE5ZWViZGEyZTVjOTNhYTg4ZmYzYTciLCJ1c2VySWQiOiIzMDQ3NTQ4MDUifQ==</vt:lpwstr>
  </property>
</Properties>
</file>