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napToGrid w:val="0"/>
        <w:jc w:val="center"/>
        <w:rPr>
          <w:rFonts w:hint="eastAsia" w:ascii="Arial" w:hAnsi="Arial" w:eastAsia="方正小标宋简体" w:cs="Arial"/>
          <w:sz w:val="72"/>
          <w:szCs w:val="72"/>
        </w:rPr>
      </w:pPr>
      <w:bookmarkStart w:id="0" w:name="_Toc16523570"/>
    </w:p>
    <w:p>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hint="eastAsia" w:ascii="Arial" w:hAnsi="Arial" w:eastAsia="方正小标宋简体" w:cs="Arial"/>
          <w:sz w:val="72"/>
          <w:szCs w:val="72"/>
        </w:rPr>
      </w:pPr>
    </w:p>
    <w:p>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pPr>
        <w:pStyle w:val="14"/>
        <w:snapToGrid w:val="0"/>
        <w:jc w:val="center"/>
        <w:rPr>
          <w:rFonts w:ascii="Arial" w:hAnsi="Arial" w:cs="Arial"/>
          <w:sz w:val="32"/>
          <w:szCs w:val="32"/>
        </w:rPr>
      </w:pPr>
    </w:p>
    <w:p>
      <w:pPr>
        <w:pStyle w:val="15"/>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2"/>
        <w:rPr>
          <w:rFonts w:ascii="Arial" w:hAnsi="Arial" w:cs="Arial"/>
          <w:sz w:val="32"/>
          <w:szCs w:val="32"/>
        </w:rPr>
      </w:pPr>
    </w:p>
    <w:p>
      <w:pPr>
        <w:pStyle w:val="14"/>
        <w:snapToGrid w:val="0"/>
        <w:jc w:val="center"/>
        <w:rPr>
          <w:rFonts w:ascii="Arial" w:hAnsi="Arial" w:cs="Arial"/>
          <w:sz w:val="32"/>
          <w:szCs w:val="32"/>
        </w:rPr>
      </w:pPr>
    </w:p>
    <w:p>
      <w:pPr>
        <w:pStyle w:val="14"/>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（无创呼吸机医院公开挂网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lang w:val="en-US" w:eastAsia="zh-CN"/>
        </w:rPr>
        <w:t>二</w:t>
      </w:r>
      <w:r>
        <w:rPr>
          <w:rFonts w:hint="eastAsia" w:ascii="宋体" w:hAnsi="宋体" w:cs="宋体"/>
          <w:bCs/>
          <w:sz w:val="32"/>
          <w:szCs w:val="32"/>
        </w:rPr>
        <w:t>月</w:t>
      </w:r>
    </w:p>
    <w:p>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无创呼吸机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无创呼吸机</w:t>
      </w:r>
      <w:r>
        <w:rPr>
          <w:rFonts w:hint="eastAsia" w:asciiTheme="minorEastAsia" w:hAnsiTheme="minorEastAsia" w:eastAsiaTheme="minorEastAsia" w:cstheme="minorEastAsia"/>
          <w:b w:val="0"/>
          <w:bCs/>
          <w:color w:val="auto"/>
          <w:sz w:val="24"/>
          <w:szCs w:val="24"/>
          <w:lang w:val="en-US" w:eastAsia="zh-CN"/>
        </w:rPr>
        <w:t>项目</w:t>
      </w:r>
    </w:p>
    <w:p>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5"/>
        <w:rPr>
          <w:rFonts w:hint="eastAsia"/>
          <w:lang w:val="en-US" w:eastAsia="zh-CN"/>
        </w:rPr>
      </w:pPr>
    </w:p>
    <w:p>
      <w:pPr>
        <w:pStyle w:val="15"/>
        <w:jc w:val="both"/>
        <w:rPr>
          <w:rFonts w:hint="default"/>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5"/>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3"/>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无创呼吸机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屏幕显示：≥7英寸液晶彩屏+触摸屏+三个按键和一个旋钮可进行双操作模式，具有自动锁屏功能，可防止误操作改动参数和报警设置：超过5分钟无操作，屏幕自动上锁不能进行参数设置。可同屏显示：监测参数和压力、流量、容量波形曲线，压力、容量、流量波形曲线在主动触发和强制触发下显示不同的颜色。</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2.吸气和呼气压力：4cmH2O～40cmH2O，调节步进0.2cmH2O，压力上升/下降时间：设置范围100ms～900ms，调节步进50ms。</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3.备份频率：5～60bpm，步进1bpm，误差±1bpm。</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4.吸气和呼气灵敏度：≥五档，步进1档。</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5.具备容量保证功能，TVV-ST和TVV-APCV模式可设置目标潮气量，设置范围200～1200ml，调节步进10ml，显示范围：0～1500ml，分辨率：1ml。</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6.吸气时间：设置范围0.1～4s,调节步进0.1s，吸气最小和最大时间设置范围0.1～4s,调节步进0.1s，吸呼比设置范围10%～90%，调节步进1%。</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7.延时升压设置范围0-60min,调节步进1min，CPAP模式压力从4cmH2O上升到设定压力，其他模式压力从4cmH2O上升到呼气压力。</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8.屏幕亮度设置范围10%～100%，调节步进10%。</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9.背光时间设置范围1～60min，调节步进1min。</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10.监测参数：漏气量，分钟通气量，呼吸频率，潮气量，吸气时长；呼气时长；实时工作压力。</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 xml:space="preserve">11.可以通过触摸屏或者旋钮进行设置的报警：窒息报警（可设置：开/关，设置范围：10～60s，调节间隔为1s）、压力过高报警（可设置：开/关，设置范围：5～45cmH2O，调节间隔为 1cmH2O）、压力过低报警（可设置：开/关，设置范围：4～10cmH2O，调节间隔为 1cmH2O）、低潮气量报警（可设置：开/关，设置范围：100～1200ml，调节间隔为 50ml）、大量漏气报警（可设置：开/关，设置范围：30L/min～100L/min，调节间隔 为1L/min）、分钟通气量过低报警（可设置：开/关，设置范围：2L/min～30L/min，调节间隔 为1L/min）、呼吸频率过高报警（可设置：开/关，设置范围：5bpm～60bpm，调节间隔 为1bpm）、呼吸频率过低报警（可设置：开/关，设置范围：3bpm～30bpm，调节间隔 为1bpm）、面罩脱落。  </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12.最大流量可达190L/min,自动进行漏气补偿，最大漏气补偿可达120L/min。</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13.工作模式：CPAP，S，T，ST，APCV，TVV-ST，TVV-APCV，IPVS，HF。</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14.HF模式流量设置范围：10-80L/min，步长：1L/min；最高压力：4cmH2O～40cmH2O，调节步进0.2cmH2O。</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15.特有IPVS模式，可以自动根据身高和体重自动计算出患者的潮气量。</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16.配有高压氧气连接管和浮标流量计，可直接连接氧气终端和氧气瓶，浮标流量计氧气流量最大调节到80L/min。同时配有低压氧气连接管，可接低压氧气。</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17.数据存储：≥8G TF卡。</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18.电池：内置蓄电池，蓄电池装入机器内部，单独使用电池时：运行时间大于等于8小时。具备电池电量低报警和电池电量耗尽报警。</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19.整机重量轻，带电池整机重量小于3Kg，机器上方具备一体式提手便于搬运。</w:t>
      </w:r>
    </w:p>
    <w:p>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20.配台车和吊臂，台车配氧气瓶≥5L，配合蓄电池可用于院内检查和院间转运。</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无创呼吸机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无创呼吸机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2421"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2421" w:type="dxa"/>
            <w:vAlign w:val="top"/>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无创呼吸机</w:t>
            </w:r>
          </w:p>
        </w:tc>
        <w:tc>
          <w:tcPr>
            <w:tcW w:w="1102"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bookmarkStart w:id="4" w:name="_GoBack"/>
            <w:bookmarkEnd w:id="4"/>
          </w:p>
        </w:tc>
        <w:tc>
          <w:tcPr>
            <w:tcW w:w="1654" w:type="dxa"/>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val="en-US" w:eastAsia="zh-CN"/>
          <w14:textFill>
            <w14:solidFill>
              <w14:schemeClr w14:val="tx1"/>
            </w14:solidFill>
          </w14:textFill>
        </w:rPr>
        <w:t>无</w:t>
      </w:r>
      <w:r>
        <w:rPr>
          <w:rFonts w:hint="eastAsia" w:ascii="宋体" w:hAnsi="宋体" w:cs="宋体"/>
          <w:color w:val="000000" w:themeColor="text1"/>
          <w:sz w:val="24"/>
          <w:szCs w:val="24"/>
          <w:highlight w:val="none"/>
          <w:lang w:eastAsia="zh-CN"/>
          <w14:textFill>
            <w14:solidFill>
              <w14:schemeClr w14:val="tx1"/>
            </w14:solidFill>
          </w14:textFill>
        </w:rPr>
        <w:t>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pPr>
              <w:adjustRightInd w:val="0"/>
              <w:snapToGrid w:val="0"/>
              <w:spacing w:before="50" w:line="360" w:lineRule="auto"/>
              <w:jc w:val="center"/>
              <w:rPr>
                <w:color w:val="auto"/>
              </w:rPr>
            </w:pPr>
            <w:r>
              <w:rPr>
                <w:color w:val="auto"/>
              </w:rPr>
              <w:t>投标文件应答</w:t>
            </w:r>
          </w:p>
        </w:tc>
        <w:tc>
          <w:tcPr>
            <w:tcW w:w="1513" w:type="dxa"/>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27" w:type="dxa"/>
            <w:noWrap w:val="0"/>
            <w:vAlign w:val="center"/>
          </w:tcPr>
          <w:p>
            <w:pPr>
              <w:adjustRightInd w:val="0"/>
              <w:snapToGrid w:val="0"/>
              <w:spacing w:before="50" w:line="360" w:lineRule="auto"/>
              <w:ind w:left="-88" w:leftChars="-42"/>
              <w:jc w:val="center"/>
              <w:rPr>
                <w:color w:val="auto"/>
                <w:szCs w:val="21"/>
              </w:rPr>
            </w:pPr>
          </w:p>
        </w:tc>
        <w:tc>
          <w:tcPr>
            <w:tcW w:w="1877" w:type="dxa"/>
            <w:noWrap w:val="0"/>
            <w:vAlign w:val="center"/>
          </w:tcPr>
          <w:p>
            <w:pPr>
              <w:adjustRightInd w:val="0"/>
              <w:snapToGrid w:val="0"/>
              <w:spacing w:before="50" w:line="360" w:lineRule="auto"/>
              <w:ind w:left="-88" w:leftChars="-42"/>
              <w:jc w:val="center"/>
              <w:rPr>
                <w:color w:val="auto"/>
                <w:szCs w:val="21"/>
              </w:rPr>
            </w:pPr>
          </w:p>
        </w:tc>
        <w:tc>
          <w:tcPr>
            <w:tcW w:w="1671" w:type="dxa"/>
            <w:noWrap w:val="0"/>
            <w:vAlign w:val="center"/>
          </w:tcPr>
          <w:p>
            <w:pPr>
              <w:adjustRightInd w:val="0"/>
              <w:snapToGrid w:val="0"/>
              <w:spacing w:before="50" w:line="360" w:lineRule="auto"/>
              <w:ind w:left="-88" w:leftChars="-42"/>
              <w:jc w:val="center"/>
              <w:rPr>
                <w:color w:val="auto"/>
                <w:szCs w:val="21"/>
              </w:rPr>
            </w:pPr>
          </w:p>
        </w:tc>
        <w:tc>
          <w:tcPr>
            <w:tcW w:w="1608" w:type="dxa"/>
            <w:noWrap w:val="0"/>
            <w:vAlign w:val="center"/>
          </w:tcPr>
          <w:p>
            <w:pPr>
              <w:adjustRightInd w:val="0"/>
              <w:snapToGrid w:val="0"/>
              <w:spacing w:before="50" w:line="360" w:lineRule="auto"/>
              <w:ind w:left="-88" w:leftChars="-42"/>
              <w:jc w:val="center"/>
              <w:rPr>
                <w:color w:val="auto"/>
                <w:szCs w:val="21"/>
              </w:rPr>
            </w:pPr>
          </w:p>
        </w:tc>
        <w:tc>
          <w:tcPr>
            <w:tcW w:w="1513" w:type="dxa"/>
            <w:noWrap w:val="0"/>
            <w:vAlign w:val="center"/>
          </w:tcPr>
          <w:p>
            <w:pPr>
              <w:adjustRightInd w:val="0"/>
              <w:snapToGrid w:val="0"/>
              <w:spacing w:before="50" w:line="360" w:lineRule="auto"/>
              <w:ind w:left="-88" w:leftChars="-42"/>
              <w:jc w:val="center"/>
              <w:rPr>
                <w:color w:val="auto"/>
                <w:szCs w:val="21"/>
              </w:rPr>
            </w:pPr>
          </w:p>
        </w:tc>
        <w:tc>
          <w:tcPr>
            <w:tcW w:w="1061" w:type="dxa"/>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8357" w:type="dxa"/>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7"/>
        <w:rPr>
          <w:color w:val="auto"/>
        </w:rPr>
      </w:pPr>
    </w:p>
    <w:p>
      <w:pPr>
        <w:pStyle w:val="16"/>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3142</Words>
  <Characters>3311</Characters>
  <Lines>0</Lines>
  <Paragraphs>0</Paragraphs>
  <TotalTime>5</TotalTime>
  <ScaleCrop>false</ScaleCrop>
  <LinksUpToDate>false</LinksUpToDate>
  <CharactersWithSpaces>3409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2025-12-16T01:41:20Z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