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C85DA">
      <w:pPr>
        <w:pStyle w:val="15"/>
        <w:snapToGrid w:val="0"/>
        <w:jc w:val="center"/>
        <w:rPr>
          <w:rFonts w:ascii="Arial" w:hAnsi="Arial" w:eastAsia="方正小标宋简体" w:cs="Arial"/>
          <w:color w:val="auto"/>
          <w:sz w:val="72"/>
          <w:szCs w:val="72"/>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7A0B0393">
      <w:pPr>
        <w:pStyle w:val="15"/>
        <w:snapToGrid w:val="0"/>
        <w:jc w:val="center"/>
        <w:rPr>
          <w:rFonts w:ascii="Arial" w:hAnsi="Arial" w:eastAsia="方正小标宋简体" w:cs="Arial"/>
          <w:sz w:val="36"/>
          <w:szCs w:val="36"/>
        </w:rPr>
      </w:pPr>
    </w:p>
    <w:p w14:paraId="285B29A7">
      <w:pPr>
        <w:pStyle w:val="16"/>
        <w:rPr>
          <w:rFonts w:ascii="Arial" w:hAnsi="Arial" w:eastAsia="方正小标宋简体" w:cs="Arial"/>
          <w:sz w:val="36"/>
          <w:szCs w:val="36"/>
        </w:rPr>
      </w:pPr>
    </w:p>
    <w:p w14:paraId="4BCC30B8">
      <w:pPr>
        <w:pStyle w:val="2"/>
        <w:rPr>
          <w:rFonts w:ascii="Arial" w:hAnsi="Arial" w:eastAsia="方正小标宋简体" w:cs="Arial"/>
          <w:sz w:val="36"/>
          <w:szCs w:val="36"/>
        </w:rPr>
      </w:pPr>
    </w:p>
    <w:p w14:paraId="02425ADE">
      <w:pPr>
        <w:pStyle w:val="2"/>
        <w:rPr>
          <w:rFonts w:ascii="Arial" w:hAnsi="Arial" w:eastAsia="方正小标宋简体" w:cs="Arial"/>
          <w:sz w:val="36"/>
          <w:szCs w:val="36"/>
        </w:rPr>
      </w:pPr>
    </w:p>
    <w:p w14:paraId="70EEFCB1">
      <w:pPr>
        <w:pStyle w:val="2"/>
        <w:rPr>
          <w:rFonts w:ascii="Arial" w:hAnsi="Arial" w:eastAsia="方正小标宋简体" w:cs="Arial"/>
          <w:sz w:val="36"/>
          <w:szCs w:val="36"/>
        </w:rPr>
      </w:pPr>
    </w:p>
    <w:p w14:paraId="138D3AFA">
      <w:pPr>
        <w:pStyle w:val="2"/>
        <w:rPr>
          <w:rFonts w:ascii="Arial" w:hAnsi="Arial" w:eastAsia="方正小标宋简体" w:cs="Arial"/>
          <w:sz w:val="36"/>
          <w:szCs w:val="36"/>
        </w:rPr>
      </w:pPr>
    </w:p>
    <w:p w14:paraId="1816A219">
      <w:pPr>
        <w:pStyle w:val="2"/>
        <w:rPr>
          <w:rFonts w:ascii="Arial" w:hAnsi="Arial" w:eastAsia="方正小标宋简体" w:cs="Arial"/>
          <w:sz w:val="36"/>
          <w:szCs w:val="36"/>
        </w:rPr>
      </w:pPr>
    </w:p>
    <w:p w14:paraId="404D9E5B">
      <w:pPr>
        <w:pStyle w:val="2"/>
        <w:rPr>
          <w:rFonts w:ascii="Arial" w:hAnsi="Arial" w:eastAsia="方正小标宋简体" w:cs="Arial"/>
          <w:sz w:val="36"/>
          <w:szCs w:val="36"/>
        </w:rPr>
      </w:pPr>
    </w:p>
    <w:p w14:paraId="4A7BBC85">
      <w:pPr>
        <w:pStyle w:val="15"/>
        <w:snapToGrid w:val="0"/>
        <w:jc w:val="center"/>
        <w:rPr>
          <w:rFonts w:ascii="Arial" w:hAnsi="Arial" w:cs="Arial"/>
          <w:sz w:val="32"/>
          <w:szCs w:val="32"/>
        </w:rPr>
      </w:pPr>
    </w:p>
    <w:p w14:paraId="5D6891B0">
      <w:pPr>
        <w:pStyle w:val="15"/>
        <w:snapToGrid w:val="0"/>
        <w:jc w:val="center"/>
        <w:rPr>
          <w:rFonts w:ascii="Arial" w:hAnsi="Arial" w:cs="Arial"/>
          <w:sz w:val="32"/>
          <w:szCs w:val="32"/>
        </w:rPr>
      </w:pPr>
    </w:p>
    <w:p w14:paraId="71F500A4">
      <w:pPr>
        <w:pStyle w:val="15"/>
        <w:snapToGrid w:val="0"/>
        <w:jc w:val="center"/>
        <w:rPr>
          <w:rFonts w:ascii="Arial" w:hAnsi="Arial" w:cs="Arial"/>
          <w:sz w:val="32"/>
          <w:szCs w:val="32"/>
        </w:rPr>
      </w:pPr>
    </w:p>
    <w:p w14:paraId="71AE6BAC">
      <w:pPr>
        <w:spacing w:line="360" w:lineRule="auto"/>
        <w:rPr>
          <w:rFonts w:hint="eastAsia"/>
          <w:bCs/>
          <w:sz w:val="32"/>
          <w:szCs w:val="32"/>
        </w:rPr>
      </w:pPr>
    </w:p>
    <w:p w14:paraId="4DC585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14A2038A">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（全自动血凝分析仪</w:t>
      </w:r>
      <w:r>
        <w:rPr>
          <w:rFonts w:hint="eastAsia" w:ascii="Times New Roman" w:hAnsi="Times New Roman" w:eastAsia="宋体" w:cs="Times New Roman"/>
          <w:b/>
          <w:bCs/>
          <w:kern w:val="44"/>
          <w:sz w:val="32"/>
          <w:szCs w:val="32"/>
          <w:lang w:val="en-US" w:eastAsia="zh-CN" w:bidi="ar-SA"/>
        </w:rPr>
        <w:t>院内</w:t>
      </w:r>
      <w:r>
        <w:rPr>
          <w:rFonts w:hint="eastAsia" w:cs="Times New Roman"/>
          <w:b/>
          <w:bCs/>
          <w:kern w:val="44"/>
          <w:sz w:val="32"/>
          <w:szCs w:val="32"/>
          <w:lang w:val="en-US" w:eastAsia="zh-CN" w:bidi="ar-SA"/>
        </w:rPr>
        <w:t>公开挂网</w:t>
      </w:r>
      <w:r>
        <w:rPr>
          <w:rFonts w:hint="eastAsia" w:ascii="Times New Roman" w:hAnsi="Times New Roman" w:eastAsia="宋体" w:cs="Times New Roman"/>
          <w:b/>
          <w:bCs/>
          <w:kern w:val="44"/>
          <w:sz w:val="32"/>
          <w:szCs w:val="32"/>
          <w:lang w:val="en-US" w:eastAsia="zh-CN" w:bidi="ar-SA"/>
        </w:rPr>
        <w:t>）</w:t>
      </w:r>
    </w:p>
    <w:p w14:paraId="5335AE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165CBFBA">
      <w:pPr>
        <w:spacing w:line="320" w:lineRule="exact"/>
        <w:jc w:val="left"/>
        <w:rPr>
          <w:sz w:val="24"/>
        </w:rPr>
      </w:pPr>
    </w:p>
    <w:p w14:paraId="5C0D5D92">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五</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39517B17">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4CDE80D5">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全自动血凝分析仪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5EC85FF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3906492F">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全自动血凝分析仪</w:t>
      </w:r>
      <w:r>
        <w:rPr>
          <w:rFonts w:hint="eastAsia" w:asciiTheme="minorEastAsia" w:hAnsiTheme="minorEastAsia" w:eastAsiaTheme="minorEastAsia" w:cstheme="minorEastAsia"/>
          <w:b w:val="0"/>
          <w:bCs/>
          <w:color w:val="auto"/>
          <w:sz w:val="24"/>
          <w:szCs w:val="24"/>
          <w:lang w:val="en-US" w:eastAsia="zh-CN"/>
        </w:rPr>
        <w:t>采购项目</w:t>
      </w:r>
    </w:p>
    <w:p w14:paraId="6ECACE7D">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549F44A8">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医院公开挂网，按招标文件评分规则进行评审，以评审结果排序，综合评分得分相同的，按耗材投标报价由低到高顺序排列，得分且投标报价相同的，按技术指标优劣顺序排列。</w:t>
      </w:r>
    </w:p>
    <w:bookmarkEnd w:id="0"/>
    <w:p w14:paraId="32757B3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7D560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789D34E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1、投标截止时间、开标时间：具体时间电话通知</w:t>
      </w:r>
    </w:p>
    <w:p w14:paraId="21C864B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8CFB5B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13CD957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B640F9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273820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6D2908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438F044E">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3D06705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85C1E2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1D47E51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1.3、投标人未按照要求出席开标会的；</w:t>
      </w:r>
    </w:p>
    <w:p w14:paraId="4F3720F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1.4、投标报价有错误的，评标委员会将要求投标人作出书面澄清说明和确认，投标人拒不作出澄清说明和确认的；</w:t>
      </w:r>
    </w:p>
    <w:p w14:paraId="25BDABC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1.5、投标文件存在弄虚作假或者隐瞒事实，或者未按照招标文件要求如实提供有关情况和文件，以及证明资料且对投标人有利的，应当否决其投标。被列为中标候选人的，应当取消其中标候选人资格；</w:t>
      </w:r>
    </w:p>
    <w:p w14:paraId="6B9F99DC">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1.6、技术参数负偏离大于5条的。</w:t>
      </w:r>
    </w:p>
    <w:p w14:paraId="006E0E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6162060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89B0C0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50974657">
      <w:pPr>
        <w:pStyle w:val="16"/>
        <w:rPr>
          <w:rFonts w:hint="eastAsia"/>
          <w:lang w:val="en-US" w:eastAsia="zh-CN"/>
        </w:rPr>
      </w:pPr>
    </w:p>
    <w:p w14:paraId="24F3677D">
      <w:pPr>
        <w:pStyle w:val="16"/>
        <w:jc w:val="both"/>
        <w:rPr>
          <w:rFonts w:hint="default"/>
          <w:lang w:val="en-US" w:eastAsia="zh-CN"/>
        </w:rPr>
      </w:pPr>
    </w:p>
    <w:p w14:paraId="3AB80244">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B4DC417">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43E9672">
      <w:pPr>
        <w:pStyle w:val="16"/>
        <w:rPr>
          <w:rFonts w:hint="eastAsia" w:ascii="宋体" w:hAnsi="宋体" w:cs="宋体"/>
          <w:b/>
          <w:bCs/>
          <w:color w:val="auto"/>
          <w:sz w:val="44"/>
          <w:szCs w:val="44"/>
          <w:lang w:val="en-US" w:eastAsia="zh-CN"/>
        </w:rPr>
      </w:pPr>
    </w:p>
    <w:p w14:paraId="5BA5BAC5">
      <w:pPr>
        <w:pStyle w:val="2"/>
        <w:rPr>
          <w:rFonts w:hint="eastAsia" w:ascii="宋体" w:hAnsi="宋体" w:cs="宋体"/>
          <w:b/>
          <w:bCs/>
          <w:color w:val="auto"/>
          <w:sz w:val="44"/>
          <w:szCs w:val="44"/>
          <w:lang w:val="en-US" w:eastAsia="zh-CN"/>
        </w:rPr>
      </w:pPr>
    </w:p>
    <w:p w14:paraId="311D956D">
      <w:pPr>
        <w:rPr>
          <w:rFonts w:hint="eastAsia" w:ascii="宋体" w:hAnsi="宋体" w:cs="宋体"/>
          <w:b/>
          <w:bCs/>
          <w:color w:val="auto"/>
          <w:sz w:val="44"/>
          <w:szCs w:val="44"/>
          <w:lang w:val="en-US" w:eastAsia="zh-CN"/>
        </w:rPr>
      </w:pPr>
    </w:p>
    <w:p w14:paraId="5EA6EFA8">
      <w:pPr>
        <w:pStyle w:val="14"/>
        <w:rPr>
          <w:rFonts w:hint="eastAsia"/>
          <w:lang w:val="en-US" w:eastAsia="zh-CN"/>
        </w:rPr>
      </w:pPr>
    </w:p>
    <w:p w14:paraId="02602556">
      <w:pPr>
        <w:pStyle w:val="4"/>
        <w:rPr>
          <w:rFonts w:hint="eastAsia" w:ascii="宋体" w:hAnsi="宋体" w:cs="宋体"/>
          <w:b/>
          <w:bCs/>
          <w:color w:val="auto"/>
          <w:sz w:val="44"/>
          <w:szCs w:val="44"/>
          <w:lang w:val="en-US" w:eastAsia="zh-CN"/>
        </w:rPr>
      </w:pPr>
    </w:p>
    <w:p w14:paraId="1AE91E79">
      <w:pPr>
        <w:rPr>
          <w:rFonts w:hint="eastAsia" w:ascii="宋体" w:hAnsi="宋体" w:cs="宋体"/>
          <w:b/>
          <w:bCs/>
          <w:color w:val="auto"/>
          <w:sz w:val="44"/>
          <w:szCs w:val="44"/>
          <w:lang w:val="en-US" w:eastAsia="zh-CN"/>
        </w:rPr>
      </w:pPr>
    </w:p>
    <w:p w14:paraId="6E5E4BA7">
      <w:pPr>
        <w:rPr>
          <w:rFonts w:hint="eastAsia"/>
          <w:lang w:val="en-US" w:eastAsia="zh-CN"/>
        </w:rPr>
      </w:pPr>
    </w:p>
    <w:p w14:paraId="03A1E94A">
      <w:pP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br w:type="page"/>
      </w:r>
    </w:p>
    <w:p w14:paraId="5A6DF2D9">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8503B1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07D70D05">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641F4BC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9E1507E">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275D1A4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全自动血凝分析仪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9DF78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191A5ED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56E5AFD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EFB9DC4">
      <w:pPr>
        <w:spacing w:line="360" w:lineRule="auto"/>
        <w:ind w:firstLine="480" w:firstLineChars="20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4F280468">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bCs/>
          <w:sz w:val="28"/>
          <w:szCs w:val="28"/>
          <w:lang w:val="en-US" w:eastAsia="zh-CN"/>
        </w:rPr>
      </w:pPr>
    </w:p>
    <w:p w14:paraId="5BCFF3F7">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33B16C1B">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560" w:firstLineChars="200"/>
        <w:textAlignment w:val="auto"/>
        <w:rPr>
          <w:rFonts w:hint="default"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sz w:val="28"/>
          <w:szCs w:val="28"/>
          <w:lang w:val="en-US" w:eastAsia="zh-CN"/>
        </w:rPr>
        <w:t>技术参数（以下参数均指单台参数）:</w:t>
      </w:r>
    </w:p>
    <w:p w14:paraId="30E8B14E">
      <w:pPr>
        <w:numPr>
          <w:ilvl w:val="0"/>
          <w:numId w:val="0"/>
        </w:num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 xml:space="preserve">1.检测原理：光学比浊法或磁珠法 </w:t>
      </w:r>
    </w:p>
    <w:p w14:paraId="236517C8">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2.检测方法：凝固法、发色底物法、免疫比浊法。</w:t>
      </w:r>
    </w:p>
    <w:p w14:paraId="7D300515">
      <w:pPr>
        <w:pStyle w:val="28"/>
        <w:spacing w:line="360" w:lineRule="auto"/>
        <w:ind w:firstLine="480"/>
        <w:rPr>
          <w:rFonts w:ascii="宋体" w:hAnsi="宋体"/>
          <w:color w:val="0C0C0C"/>
          <w:highlight w:val="yellow"/>
        </w:rPr>
      </w:pPr>
      <w:r>
        <w:rPr>
          <w:rFonts w:hint="eastAsia" w:ascii="宋体" w:hAnsi="宋体" w:cs="宋体"/>
          <w:bCs/>
          <w:kern w:val="0"/>
          <w:sz w:val="24"/>
        </w:rPr>
        <w:t>▲3.检测项目：至少包括PT、APTT、FIB、TT、D-Dimer、FDP、AT-III、</w:t>
      </w:r>
      <w:r>
        <w:rPr>
          <w:rFonts w:hint="eastAsia"/>
          <w:sz w:val="24"/>
        </w:rPr>
        <w:t>凝血因子（II、VII、VIII、IX、X）、vWF活性等项目, 以上项目均须提供CFDA认证的相应原装配套试剂注册证</w:t>
      </w:r>
      <w:r>
        <w:rPr>
          <w:rFonts w:hint="eastAsia" w:ascii="宋体" w:hAnsi="宋体" w:cs="宋体"/>
          <w:bCs/>
          <w:kern w:val="0"/>
          <w:sz w:val="24"/>
        </w:rPr>
        <w:t>并加盖投标人公章</w:t>
      </w:r>
      <w:r>
        <w:rPr>
          <w:rFonts w:hint="eastAsia"/>
          <w:sz w:val="24"/>
        </w:rPr>
        <w:t>。</w:t>
      </w:r>
    </w:p>
    <w:p w14:paraId="1340B074">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4.测试速度：PT≥400 T/H ，D-D≥400T/H，支持多台联机且不降速。</w:t>
      </w:r>
    </w:p>
    <w:p w14:paraId="4CD067FE">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5.开关机模式：单台凝血分析仪可单独控制开关机。</w:t>
      </w:r>
    </w:p>
    <w:p w14:paraId="0C44C7D2">
      <w:pPr>
        <w:tabs>
          <w:tab w:val="left" w:pos="7140"/>
        </w:tabs>
        <w:spacing w:line="360" w:lineRule="auto"/>
        <w:ind w:firstLine="480" w:firstLineChars="200"/>
        <w:rPr>
          <w:rFonts w:hint="eastAsia" w:eastAsia="宋体"/>
          <w:color w:val="0C0C0C"/>
          <w:highlight w:val="yellow"/>
          <w:lang w:eastAsia="zh-CN"/>
        </w:rPr>
      </w:pPr>
      <w:r>
        <w:rPr>
          <w:rFonts w:hint="eastAsia" w:ascii="宋体" w:hAnsi="宋体" w:cs="宋体"/>
          <w:bCs/>
          <w:kern w:val="0"/>
          <w:sz w:val="24"/>
        </w:rPr>
        <w:t>6.检测通道：≥25个</w:t>
      </w:r>
      <w:r>
        <w:rPr>
          <w:rFonts w:hint="eastAsia" w:ascii="宋体" w:hAnsi="宋体" w:cs="宋体"/>
          <w:bCs/>
          <w:kern w:val="0"/>
          <w:sz w:val="24"/>
          <w:lang w:eastAsia="zh-CN"/>
        </w:rPr>
        <w:t>。</w:t>
      </w:r>
    </w:p>
    <w:p w14:paraId="19E35BE9">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7.检测光源：LED持久光源，无需定期更换。</w:t>
      </w:r>
    </w:p>
    <w:p w14:paraId="33550924">
      <w:pPr>
        <w:tabs>
          <w:tab w:val="left" w:pos="7140"/>
        </w:tabs>
        <w:spacing w:line="360" w:lineRule="auto"/>
        <w:ind w:firstLine="480" w:firstLineChars="200"/>
        <w:rPr>
          <w:rFonts w:hint="eastAsia"/>
          <w:color w:val="0C0C0C"/>
          <w:highlight w:val="yellow"/>
        </w:rPr>
      </w:pPr>
      <w:r>
        <w:rPr>
          <w:rFonts w:hint="eastAsia" w:ascii="宋体" w:hAnsi="宋体" w:cs="宋体"/>
          <w:bCs/>
          <w:kern w:val="0"/>
          <w:sz w:val="24"/>
        </w:rPr>
        <w:t>▲8.检测波长≥5个，至少包含340nm.405nm.575nm.660nm和800nm五个检测波长</w:t>
      </w:r>
      <w:r>
        <w:rPr>
          <w:rFonts w:hint="eastAsia" w:ascii="宋体" w:hAnsi="宋体" w:cs="宋体"/>
          <w:bCs/>
          <w:kern w:val="0"/>
          <w:sz w:val="24"/>
          <w:lang w:eastAsia="zh-CN"/>
        </w:rPr>
        <w:t>（</w:t>
      </w:r>
      <w:r>
        <w:rPr>
          <w:rFonts w:hint="eastAsia" w:ascii="宋体" w:hAnsi="宋体" w:cs="宋体"/>
          <w:bCs/>
          <w:kern w:val="0"/>
          <w:sz w:val="24"/>
          <w:lang w:val="en-US" w:eastAsia="zh-CN"/>
        </w:rPr>
        <w:t>提供相关证明材料</w:t>
      </w:r>
      <w:r>
        <w:rPr>
          <w:rFonts w:hint="eastAsia" w:ascii="宋体" w:hAnsi="宋体" w:cs="宋体"/>
          <w:bCs/>
          <w:kern w:val="0"/>
          <w:sz w:val="24"/>
        </w:rPr>
        <w:t>并加盖投标人公章</w:t>
      </w:r>
      <w:r>
        <w:rPr>
          <w:rFonts w:hint="eastAsia" w:ascii="宋体" w:hAnsi="宋体" w:cs="宋体"/>
          <w:bCs/>
          <w:kern w:val="0"/>
          <w:sz w:val="24"/>
          <w:lang w:eastAsia="zh-CN"/>
        </w:rPr>
        <w:t>）</w:t>
      </w:r>
      <w:r>
        <w:rPr>
          <w:rFonts w:hint="eastAsia" w:ascii="宋体" w:hAnsi="宋体" w:cs="宋体"/>
          <w:bCs/>
          <w:kern w:val="0"/>
          <w:sz w:val="24"/>
        </w:rPr>
        <w:t>。</w:t>
      </w:r>
    </w:p>
    <w:p w14:paraId="533D1C43">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9.标本进样：样本位≥200个，可轨道式连续进样，内置条码扫描装置可实时扫描样本的条码信息。</w:t>
      </w:r>
    </w:p>
    <w:p w14:paraId="1D1A34F5">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10.可随时插入急诊样本，有独立急诊位置和进样通道。</w:t>
      </w:r>
    </w:p>
    <w:p w14:paraId="3D0A6780">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11.样本针可闭盖穿刺，具有液位感应和优化的闭盖穿刺功能。</w:t>
      </w:r>
    </w:p>
    <w:p w14:paraId="41716C23">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12.上机样本量自动监测，自动识别并报警提示样本量不足样本。</w:t>
      </w:r>
    </w:p>
    <w:p w14:paraId="334241AC">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13.试剂：≥50个冷藏试剂腔位，≥10个常温试剂腔位，可不暂停检测在线更换试剂。试剂仓封闭减少试剂挥发。</w:t>
      </w:r>
    </w:p>
    <w:p w14:paraId="5DAEC821">
      <w:pPr>
        <w:tabs>
          <w:tab w:val="left" w:pos="7140"/>
        </w:tabs>
        <w:spacing w:line="360" w:lineRule="auto"/>
        <w:ind w:firstLine="480" w:firstLineChars="200"/>
        <w:rPr>
          <w:rFonts w:hint="eastAsia" w:ascii="宋体" w:hAnsi="宋体" w:cs="宋体"/>
          <w:bCs/>
          <w:color w:val="4F81BD"/>
          <w:kern w:val="0"/>
          <w:sz w:val="24"/>
        </w:rPr>
      </w:pPr>
      <w:r>
        <w:rPr>
          <w:rFonts w:hint="eastAsia" w:ascii="宋体" w:hAnsi="宋体" w:cs="宋体"/>
          <w:bCs/>
          <w:kern w:val="0"/>
          <w:sz w:val="24"/>
        </w:rPr>
        <w:t>14.试剂可任意位置摆放并条码识别，可进行试剂余量监测，多瓶同种试剂可连续自动切换，试剂位冷凝水可自动排除。</w:t>
      </w:r>
    </w:p>
    <w:p w14:paraId="0FB41D62">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15.仪器关机试剂无需取出，试剂盘能单独制冷保持2-8℃。</w:t>
      </w:r>
    </w:p>
    <w:p w14:paraId="76FDEB53">
      <w:pPr>
        <w:tabs>
          <w:tab w:val="left" w:pos="7140"/>
        </w:tabs>
        <w:spacing w:line="360" w:lineRule="auto"/>
        <w:ind w:firstLine="480" w:firstLineChars="200"/>
        <w:rPr>
          <w:rFonts w:ascii="宋体" w:hAnsi="宋体" w:cs="宋体"/>
          <w:bCs/>
          <w:color w:val="auto"/>
          <w:kern w:val="0"/>
          <w:sz w:val="24"/>
        </w:rPr>
      </w:pPr>
      <w:r>
        <w:rPr>
          <w:rFonts w:hint="eastAsia" w:ascii="宋体" w:hAnsi="宋体" w:cs="宋体"/>
          <w:bCs/>
          <w:kern w:val="0"/>
          <w:sz w:val="24"/>
        </w:rPr>
        <w:t>▲</w:t>
      </w:r>
      <w:r>
        <w:rPr>
          <w:rFonts w:hint="eastAsia" w:ascii="宋体" w:hAnsi="宋体" w:cs="宋体"/>
          <w:bCs/>
          <w:color w:val="auto"/>
          <w:kern w:val="0"/>
          <w:sz w:val="24"/>
        </w:rPr>
        <w:t>16.</w:t>
      </w:r>
      <w:r>
        <w:rPr>
          <w:rFonts w:hint="eastAsia" w:ascii="宋体" w:hAnsi="宋体" w:cs="宋体"/>
          <w:bCs/>
          <w:color w:val="auto"/>
          <w:kern w:val="0"/>
          <w:sz w:val="24"/>
          <w:lang w:val="en-US" w:eastAsia="zh-CN"/>
        </w:rPr>
        <w:t>凝血常规4项（</w:t>
      </w:r>
      <w:r>
        <w:rPr>
          <w:rFonts w:hint="eastAsia" w:ascii="宋体" w:hAnsi="宋体" w:cs="宋体"/>
          <w:bCs/>
          <w:kern w:val="0"/>
          <w:sz w:val="24"/>
        </w:rPr>
        <w:t>PT、APTT、FIB、TT</w:t>
      </w:r>
      <w:r>
        <w:rPr>
          <w:rFonts w:hint="eastAsia" w:ascii="宋体" w:hAnsi="宋体" w:cs="宋体"/>
          <w:bCs/>
          <w:color w:val="auto"/>
          <w:kern w:val="0"/>
          <w:sz w:val="24"/>
          <w:lang w:val="en-US" w:eastAsia="zh-CN"/>
        </w:rPr>
        <w:t>）</w:t>
      </w:r>
      <w:r>
        <w:rPr>
          <w:rFonts w:hint="eastAsia" w:ascii="宋体" w:hAnsi="宋体" w:cs="宋体"/>
          <w:bCs/>
          <w:color w:val="auto"/>
          <w:kern w:val="0"/>
          <w:sz w:val="24"/>
        </w:rPr>
        <w:t>试剂有效期≥</w:t>
      </w:r>
      <w:r>
        <w:rPr>
          <w:rFonts w:hint="eastAsia" w:ascii="宋体" w:hAnsi="宋体" w:cs="宋体"/>
          <w:bCs/>
          <w:color w:val="auto"/>
          <w:kern w:val="0"/>
          <w:sz w:val="24"/>
          <w:lang w:val="en-US" w:eastAsia="zh-CN"/>
        </w:rPr>
        <w:t>18</w:t>
      </w:r>
      <w:r>
        <w:rPr>
          <w:rFonts w:hint="eastAsia" w:ascii="宋体" w:hAnsi="宋体" w:cs="宋体"/>
          <w:bCs/>
          <w:color w:val="auto"/>
          <w:kern w:val="0"/>
          <w:sz w:val="24"/>
        </w:rPr>
        <w:t>个月（需提供注册证</w:t>
      </w:r>
      <w:r>
        <w:rPr>
          <w:rFonts w:hint="eastAsia" w:ascii="宋体" w:hAnsi="宋体" w:cs="宋体"/>
          <w:bCs/>
          <w:kern w:val="0"/>
          <w:sz w:val="24"/>
        </w:rPr>
        <w:t>并加盖投标人公章</w:t>
      </w:r>
      <w:r>
        <w:rPr>
          <w:rFonts w:hint="eastAsia" w:ascii="宋体" w:hAnsi="宋体" w:cs="宋体"/>
          <w:bCs/>
          <w:color w:val="auto"/>
          <w:kern w:val="0"/>
          <w:sz w:val="24"/>
        </w:rPr>
        <w:t>）。</w:t>
      </w:r>
    </w:p>
    <w:p w14:paraId="2E8829C5">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17.试剂开封后在仪器上稳定时间≥14天。</w:t>
      </w:r>
    </w:p>
    <w:p w14:paraId="4D26AC18">
      <w:pPr>
        <w:tabs>
          <w:tab w:val="left" w:pos="7140"/>
        </w:tabs>
        <w:spacing w:line="360" w:lineRule="auto"/>
        <w:ind w:firstLine="480" w:firstLineChars="200"/>
        <w:rPr>
          <w:rFonts w:hint="eastAsia"/>
          <w:color w:val="0C0C0C"/>
          <w:highlight w:val="yellow"/>
        </w:rPr>
      </w:pPr>
      <w:r>
        <w:rPr>
          <w:rFonts w:hint="eastAsia" w:ascii="宋体" w:hAnsi="宋体" w:cs="宋体"/>
          <w:bCs/>
          <w:kern w:val="0"/>
          <w:sz w:val="24"/>
        </w:rPr>
        <w:t>18.APTT纠正实验可全自动化。</w:t>
      </w:r>
    </w:p>
    <w:p w14:paraId="21C90BF4">
      <w:pPr>
        <w:spacing w:line="360" w:lineRule="auto"/>
        <w:ind w:firstLine="480" w:firstLineChars="200"/>
        <w:rPr>
          <w:rFonts w:hint="eastAsia" w:ascii="宋体" w:hAnsi="宋体" w:cs="宋体"/>
          <w:bCs/>
          <w:kern w:val="0"/>
          <w:sz w:val="24"/>
        </w:rPr>
      </w:pPr>
      <w:r>
        <w:rPr>
          <w:rFonts w:hint="eastAsia" w:ascii="宋体" w:hAnsi="宋体" w:cs="宋体"/>
          <w:bCs/>
          <w:kern w:val="0"/>
          <w:sz w:val="24"/>
        </w:rPr>
        <w:t>19.</w:t>
      </w:r>
      <w:r>
        <w:rPr>
          <w:rFonts w:hint="eastAsia" w:ascii="宋体" w:hAnsi="宋体" w:eastAsia="宋体" w:cs="宋体"/>
          <w:bCs/>
          <w:color w:val="auto"/>
          <w:kern w:val="0"/>
          <w:sz w:val="24"/>
          <w:szCs w:val="24"/>
          <w:lang w:val="en-US" w:eastAsia="zh-CN" w:bidi="ar-SA"/>
        </w:rPr>
        <w:t>支持Clauss法检测FIB</w:t>
      </w:r>
      <w:r>
        <w:rPr>
          <w:rFonts w:hint="eastAsia" w:ascii="宋体" w:hAnsi="宋体" w:cs="宋体"/>
          <w:bCs/>
          <w:kern w:val="0"/>
          <w:sz w:val="24"/>
        </w:rPr>
        <w:t>。</w:t>
      </w:r>
    </w:p>
    <w:p w14:paraId="1FD08596">
      <w:pPr>
        <w:spacing w:line="360" w:lineRule="auto"/>
        <w:ind w:firstLine="480" w:firstLineChars="200"/>
        <w:rPr>
          <w:rFonts w:ascii="宋体" w:hAnsi="宋体" w:cs="宋体"/>
          <w:bCs/>
          <w:kern w:val="0"/>
          <w:sz w:val="24"/>
        </w:rPr>
      </w:pPr>
      <w:r>
        <w:rPr>
          <w:rFonts w:hint="eastAsia" w:ascii="宋体" w:hAnsi="宋体" w:cs="宋体"/>
          <w:bCs/>
          <w:kern w:val="0"/>
          <w:sz w:val="24"/>
        </w:rPr>
        <w:t>▲20.D-二聚体需提供资料（FDA认证、CFDA认证）证明其检测性能符合国家行业标准WS/T 477-2015，即“用于深静脉血栓排除的cutoff值0.5mg/L FEU，灵敏度≥97%，阴性预示值≥98%”。</w:t>
      </w:r>
    </w:p>
    <w:p w14:paraId="68CAA292">
      <w:pPr>
        <w:spacing w:line="360" w:lineRule="auto"/>
        <w:ind w:firstLine="480" w:firstLineChars="200"/>
        <w:rPr>
          <w:rFonts w:hint="eastAsia" w:ascii="宋体" w:hAnsi="宋体" w:cs="宋体"/>
          <w:bCs/>
          <w:color w:val="4472C4"/>
          <w:kern w:val="0"/>
          <w:sz w:val="24"/>
        </w:rPr>
      </w:pPr>
      <w:r>
        <w:rPr>
          <w:rFonts w:hint="eastAsia" w:ascii="宋体" w:hAnsi="宋体" w:cs="宋体"/>
          <w:bCs/>
          <w:color w:val="auto"/>
          <w:kern w:val="0"/>
          <w:sz w:val="24"/>
        </w:rPr>
        <w:t>21.TT凝血酶时间测定试剂</w:t>
      </w:r>
      <w:r>
        <w:rPr>
          <w:rFonts w:hint="eastAsia" w:ascii="宋体" w:hAnsi="宋体" w:cs="宋体"/>
          <w:bCs/>
          <w:color w:val="auto"/>
          <w:kern w:val="0"/>
          <w:sz w:val="24"/>
          <w:lang w:val="en-US" w:eastAsia="zh-CN"/>
        </w:rPr>
        <w:t>中</w:t>
      </w:r>
      <w:r>
        <w:rPr>
          <w:rFonts w:hint="eastAsia" w:ascii="宋体" w:hAnsi="宋体" w:cs="宋体"/>
          <w:bCs/>
          <w:color w:val="auto"/>
          <w:kern w:val="0"/>
          <w:sz w:val="24"/>
        </w:rPr>
        <w:t>的凝血酶浓度≤2.0IU/ML</w:t>
      </w:r>
      <w:r>
        <w:rPr>
          <w:rFonts w:hint="eastAsia" w:ascii="宋体" w:hAnsi="宋体" w:cs="宋体"/>
          <w:bCs/>
          <w:color w:val="auto"/>
          <w:kern w:val="0"/>
          <w:sz w:val="24"/>
          <w:lang w:eastAsia="zh-CN"/>
        </w:rPr>
        <w:t>（</w:t>
      </w:r>
      <w:r>
        <w:rPr>
          <w:rFonts w:hint="eastAsia" w:ascii="宋体" w:hAnsi="宋体" w:cs="宋体"/>
          <w:bCs/>
          <w:color w:val="auto"/>
          <w:kern w:val="0"/>
          <w:sz w:val="24"/>
          <w:lang w:val="en-US" w:eastAsia="zh-CN"/>
        </w:rPr>
        <w:t>需提供厂家试剂说明书</w:t>
      </w:r>
      <w:r>
        <w:rPr>
          <w:rFonts w:hint="eastAsia" w:ascii="宋体" w:hAnsi="宋体" w:cs="宋体"/>
          <w:bCs/>
          <w:color w:val="auto"/>
          <w:kern w:val="0"/>
          <w:sz w:val="24"/>
          <w:lang w:eastAsia="zh-CN"/>
        </w:rPr>
        <w:t>）</w:t>
      </w:r>
      <w:r>
        <w:rPr>
          <w:rFonts w:hint="eastAsia" w:ascii="宋体" w:hAnsi="宋体" w:cs="宋体"/>
          <w:bCs/>
          <w:color w:val="auto"/>
          <w:kern w:val="0"/>
          <w:sz w:val="24"/>
        </w:rPr>
        <w:t>。</w:t>
      </w:r>
    </w:p>
    <w:p w14:paraId="0E376742">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22.质控品及校准品：可提供原厂配套质控品及校准品。</w:t>
      </w:r>
    </w:p>
    <w:p w14:paraId="6A4919FA">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2</w:t>
      </w:r>
      <w:r>
        <w:rPr>
          <w:rFonts w:hint="eastAsia" w:ascii="宋体" w:hAnsi="宋体" w:cs="宋体"/>
          <w:bCs/>
          <w:kern w:val="0"/>
          <w:sz w:val="24"/>
          <w:lang w:val="en-US" w:eastAsia="zh-CN"/>
        </w:rPr>
        <w:t>3</w:t>
      </w:r>
      <w:r>
        <w:rPr>
          <w:rFonts w:hint="eastAsia" w:ascii="宋体" w:hAnsi="宋体" w:cs="宋体"/>
          <w:bCs/>
          <w:kern w:val="0"/>
          <w:sz w:val="24"/>
        </w:rPr>
        <w:t>.混匀方式：搅拌采用漩涡状混匀方式，无交叉污染。</w:t>
      </w:r>
    </w:p>
    <w:p w14:paraId="127355D3">
      <w:pPr>
        <w:tabs>
          <w:tab w:val="left" w:pos="7140"/>
        </w:tabs>
        <w:spacing w:line="360" w:lineRule="auto"/>
        <w:rPr>
          <w:rFonts w:hint="eastAsia" w:ascii="宋体" w:hAnsi="宋体" w:cs="宋体"/>
          <w:bCs/>
          <w:color w:val="FF0000"/>
          <w:kern w:val="0"/>
          <w:sz w:val="24"/>
        </w:rPr>
      </w:pPr>
      <w:r>
        <w:rPr>
          <w:rFonts w:hint="eastAsia" w:ascii="宋体" w:hAnsi="宋体" w:cs="宋体"/>
          <w:bCs/>
          <w:kern w:val="0"/>
          <w:sz w:val="24"/>
        </w:rPr>
        <w:t xml:space="preserve">    2</w:t>
      </w:r>
      <w:r>
        <w:rPr>
          <w:rFonts w:hint="eastAsia" w:ascii="宋体" w:hAnsi="宋体" w:cs="宋体"/>
          <w:bCs/>
          <w:kern w:val="0"/>
          <w:sz w:val="24"/>
          <w:lang w:val="en-US" w:eastAsia="zh-CN"/>
        </w:rPr>
        <w:t>4</w:t>
      </w:r>
      <w:r>
        <w:rPr>
          <w:rFonts w:hint="eastAsia" w:ascii="宋体" w:hAnsi="宋体" w:cs="宋体"/>
          <w:bCs/>
          <w:kern w:val="0"/>
          <w:sz w:val="24"/>
        </w:rPr>
        <w:t>.反应杯可连续装载，一次放置不少于1200个反应杯，并可随时加载，支持不停机加载和倾倒废杯。</w:t>
      </w:r>
    </w:p>
    <w:p w14:paraId="3237DD0C">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2</w:t>
      </w:r>
      <w:r>
        <w:rPr>
          <w:rFonts w:hint="eastAsia" w:ascii="宋体" w:hAnsi="宋体" w:cs="宋体"/>
          <w:bCs/>
          <w:kern w:val="0"/>
          <w:sz w:val="24"/>
          <w:lang w:val="en-US" w:eastAsia="zh-CN"/>
        </w:rPr>
        <w:t>5</w:t>
      </w:r>
      <w:r>
        <w:rPr>
          <w:rFonts w:hint="eastAsia" w:ascii="宋体" w:hAnsi="宋体" w:cs="宋体"/>
          <w:bCs/>
          <w:kern w:val="0"/>
          <w:sz w:val="24"/>
        </w:rPr>
        <w:t>.必须双工连接LIS系统，中文发布报告。</w:t>
      </w:r>
    </w:p>
    <w:p w14:paraId="6D1C1E45">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2</w:t>
      </w:r>
      <w:r>
        <w:rPr>
          <w:rFonts w:hint="eastAsia" w:ascii="宋体" w:hAnsi="宋体" w:cs="宋体"/>
          <w:bCs/>
          <w:kern w:val="0"/>
          <w:sz w:val="24"/>
          <w:lang w:val="en-US" w:eastAsia="zh-CN"/>
        </w:rPr>
        <w:t>6</w:t>
      </w:r>
      <w:r>
        <w:rPr>
          <w:rFonts w:hint="eastAsia" w:ascii="宋体" w:hAnsi="宋体" w:cs="宋体"/>
          <w:bCs/>
          <w:kern w:val="0"/>
          <w:sz w:val="24"/>
        </w:rPr>
        <w:t>.单台仪器占地面积小于1㎡。</w:t>
      </w:r>
    </w:p>
    <w:p w14:paraId="0ECB0024">
      <w:pPr>
        <w:tabs>
          <w:tab w:val="left" w:pos="7140"/>
        </w:tabs>
        <w:spacing w:line="360" w:lineRule="auto"/>
        <w:ind w:firstLine="240" w:firstLineChars="100"/>
        <w:rPr>
          <w:rFonts w:hint="eastAsia" w:ascii="宋体" w:hAnsi="宋体" w:cs="宋体"/>
          <w:bCs/>
          <w:kern w:val="0"/>
          <w:sz w:val="24"/>
        </w:rPr>
      </w:pPr>
      <w:r>
        <w:rPr>
          <w:rFonts w:hint="eastAsia" w:ascii="宋体" w:hAnsi="宋体" w:cs="宋体"/>
          <w:bCs/>
          <w:kern w:val="0"/>
          <w:sz w:val="24"/>
        </w:rPr>
        <w:t>▲2</w:t>
      </w:r>
      <w:r>
        <w:rPr>
          <w:rFonts w:hint="eastAsia" w:ascii="宋体" w:hAnsi="宋体" w:cs="宋体"/>
          <w:bCs/>
          <w:kern w:val="0"/>
          <w:sz w:val="24"/>
          <w:lang w:val="en-US" w:eastAsia="zh-CN"/>
        </w:rPr>
        <w:t>7</w:t>
      </w:r>
      <w:r>
        <w:rPr>
          <w:rFonts w:hint="eastAsia" w:ascii="宋体" w:hAnsi="宋体" w:cs="宋体"/>
          <w:bCs/>
          <w:kern w:val="0"/>
          <w:sz w:val="24"/>
        </w:rPr>
        <w:t>.该品牌在202</w:t>
      </w:r>
      <w:r>
        <w:rPr>
          <w:rFonts w:hint="eastAsia" w:ascii="宋体" w:hAnsi="宋体" w:cs="宋体"/>
          <w:bCs/>
          <w:kern w:val="0"/>
          <w:sz w:val="24"/>
          <w:lang w:val="en-US" w:eastAsia="zh-CN"/>
        </w:rPr>
        <w:t>4</w:t>
      </w:r>
      <w:r>
        <w:rPr>
          <w:rFonts w:hint="eastAsia" w:ascii="宋体" w:hAnsi="宋体" w:cs="宋体"/>
          <w:bCs/>
          <w:kern w:val="0"/>
          <w:sz w:val="24"/>
        </w:rPr>
        <w:t>年国家卫健委临检中心组织的凝血项目室间质评分组中，参评单位≥</w:t>
      </w:r>
      <w:r>
        <w:rPr>
          <w:rFonts w:hint="eastAsia" w:ascii="宋体" w:hAnsi="宋体" w:cs="宋体"/>
          <w:bCs/>
          <w:kern w:val="0"/>
          <w:sz w:val="24"/>
          <w:lang w:val="en-US" w:eastAsia="zh-CN"/>
        </w:rPr>
        <w:t>3</w:t>
      </w:r>
      <w:r>
        <w:rPr>
          <w:rFonts w:hint="eastAsia" w:ascii="宋体" w:hAnsi="宋体" w:cs="宋体"/>
          <w:bCs/>
          <w:color w:val="auto"/>
          <w:kern w:val="0"/>
          <w:sz w:val="24"/>
        </w:rPr>
        <w:t>00家</w:t>
      </w:r>
      <w:r>
        <w:rPr>
          <w:rFonts w:hint="eastAsia" w:ascii="宋体" w:hAnsi="宋体" w:cs="宋体"/>
          <w:bCs/>
          <w:kern w:val="0"/>
          <w:sz w:val="24"/>
        </w:rPr>
        <w:t>。（</w:t>
      </w:r>
      <w:r>
        <w:rPr>
          <w:rFonts w:hint="eastAsia" w:ascii="宋体" w:hAnsi="宋体" w:cs="宋体"/>
          <w:bCs/>
          <w:kern w:val="0"/>
          <w:sz w:val="24"/>
          <w:lang w:val="en-US" w:eastAsia="zh-CN"/>
        </w:rPr>
        <w:t>以仪器品牌计算，须</w:t>
      </w:r>
      <w:r>
        <w:rPr>
          <w:rFonts w:hint="eastAsia" w:ascii="宋体" w:hAnsi="宋体" w:cs="宋体"/>
          <w:bCs/>
          <w:kern w:val="0"/>
          <w:sz w:val="24"/>
        </w:rPr>
        <w:t>提供国家卫健委</w:t>
      </w:r>
      <w:r>
        <w:rPr>
          <w:rFonts w:hint="eastAsia" w:ascii="宋体" w:hAnsi="宋体" w:cs="宋体"/>
          <w:bCs/>
          <w:kern w:val="0"/>
          <w:sz w:val="24"/>
          <w:lang w:val="en-US" w:eastAsia="zh-CN"/>
        </w:rPr>
        <w:t>临检中心的室间质评报告</w:t>
      </w:r>
      <w:r>
        <w:rPr>
          <w:rFonts w:hint="eastAsia" w:ascii="宋体" w:hAnsi="宋体" w:cs="宋体"/>
          <w:bCs/>
          <w:kern w:val="0"/>
          <w:sz w:val="24"/>
        </w:rPr>
        <w:t>并加盖投标人公章）</w:t>
      </w:r>
    </w:p>
    <w:p w14:paraId="647C0E8F">
      <w:pPr>
        <w:tabs>
          <w:tab w:val="left" w:pos="7140"/>
        </w:tabs>
        <w:spacing w:line="360" w:lineRule="auto"/>
        <w:ind w:firstLine="480" w:firstLineChars="200"/>
        <w:rPr>
          <w:rFonts w:hint="eastAsia" w:ascii="宋体" w:hAnsi="宋体" w:cs="宋体"/>
          <w:bCs/>
          <w:kern w:val="0"/>
          <w:sz w:val="24"/>
        </w:rPr>
      </w:pPr>
      <w:r>
        <w:rPr>
          <w:rFonts w:hint="eastAsia" w:ascii="宋体" w:hAnsi="宋体" w:cs="宋体"/>
          <w:bCs/>
          <w:kern w:val="0"/>
          <w:sz w:val="24"/>
        </w:rPr>
        <w:t>2</w:t>
      </w:r>
      <w:r>
        <w:rPr>
          <w:rFonts w:hint="eastAsia" w:ascii="宋体" w:hAnsi="宋体" w:cs="宋体"/>
          <w:bCs/>
          <w:kern w:val="0"/>
          <w:sz w:val="24"/>
          <w:lang w:val="en-US" w:eastAsia="zh-CN"/>
        </w:rPr>
        <w:t>8</w:t>
      </w:r>
      <w:r>
        <w:rPr>
          <w:rFonts w:hint="eastAsia" w:ascii="宋体" w:hAnsi="宋体" w:cs="宋体"/>
          <w:bCs/>
          <w:kern w:val="0"/>
          <w:sz w:val="24"/>
        </w:rPr>
        <w:t>.设备性能及试剂检测质量需经医院试用，满足使用科室的需求。</w:t>
      </w:r>
    </w:p>
    <w:p w14:paraId="0C20B7A9">
      <w:pPr>
        <w:rPr>
          <w:rFonts w:hint="eastAsia" w:ascii="宋体" w:hAnsi="宋体" w:cs="宋体"/>
          <w:bCs/>
          <w:kern w:val="0"/>
          <w:sz w:val="24"/>
          <w:lang w:val="en-US" w:eastAsia="zh-CN"/>
        </w:rPr>
      </w:pPr>
      <w:r>
        <w:rPr>
          <w:rFonts w:hint="eastAsia" w:ascii="宋体" w:hAnsi="宋体" w:cs="宋体"/>
          <w:bCs/>
          <w:kern w:val="0"/>
          <w:sz w:val="24"/>
          <w:lang w:val="en-US" w:eastAsia="zh-CN"/>
        </w:rPr>
        <w:br w:type="page"/>
      </w:r>
    </w:p>
    <w:p w14:paraId="48B89780">
      <w:pPr>
        <w:tabs>
          <w:tab w:val="left" w:pos="7140"/>
        </w:tabs>
        <w:spacing w:line="360" w:lineRule="auto"/>
        <w:ind w:firstLine="480" w:firstLineChars="200"/>
        <w:rPr>
          <w:rFonts w:hint="eastAsia" w:ascii="宋体" w:hAnsi="宋体" w:eastAsia="宋体" w:cs="宋体"/>
          <w:bCs/>
          <w:kern w:val="0"/>
          <w:sz w:val="24"/>
          <w:lang w:eastAsia="zh-CN"/>
        </w:rPr>
      </w:pPr>
      <w:r>
        <w:rPr>
          <w:rFonts w:hint="eastAsia" w:asciiTheme="minorEastAsia" w:hAnsiTheme="minorEastAsia" w:eastAsiaTheme="minorEastAsia" w:cstheme="minorEastAsia"/>
          <w:bCs/>
          <w:color w:val="auto"/>
          <w:kern w:val="0"/>
          <w:sz w:val="24"/>
          <w:szCs w:val="24"/>
          <w:lang w:val="en-US" w:eastAsia="zh-CN" w:bidi="ar-SA"/>
        </w:rPr>
        <w:t>★</w:t>
      </w:r>
      <w:r>
        <w:rPr>
          <w:rFonts w:hint="eastAsia" w:ascii="宋体" w:hAnsi="宋体" w:cs="宋体"/>
          <w:bCs/>
          <w:kern w:val="0"/>
          <w:sz w:val="24"/>
          <w:lang w:val="en-US" w:eastAsia="zh-CN"/>
        </w:rPr>
        <w:t>29</w:t>
      </w:r>
      <w:r>
        <w:rPr>
          <w:rFonts w:hint="eastAsia" w:ascii="宋体" w:hAnsi="宋体" w:cs="宋体"/>
          <w:bCs/>
          <w:kern w:val="0"/>
          <w:sz w:val="24"/>
        </w:rPr>
        <w:t>.设备所需专机耗材</w:t>
      </w:r>
      <w:r>
        <w:rPr>
          <w:rFonts w:hint="eastAsia" w:ascii="宋体" w:hAnsi="宋体" w:cs="宋体"/>
          <w:bCs/>
          <w:kern w:val="0"/>
          <w:sz w:val="24"/>
          <w:lang w:val="en-US" w:eastAsia="zh-CN"/>
        </w:rPr>
        <w:t>限价及计算如下（下列耗材均不得高于省平台挂网价）</w:t>
      </w:r>
      <w:r>
        <w:rPr>
          <w:rFonts w:hint="eastAsia" w:ascii="宋体" w:hAnsi="宋体" w:cs="宋体"/>
          <w:bCs/>
          <w:kern w:val="0"/>
          <w:sz w:val="24"/>
        </w:rPr>
        <w:t>：</w:t>
      </w:r>
    </w:p>
    <w:tbl>
      <w:tblPr>
        <w:tblStyle w:val="10"/>
        <w:tblpPr w:leftFromText="180" w:rightFromText="180" w:vertAnchor="text" w:horzAnchor="page" w:tblpX="2242" w:tblpY="586"/>
        <w:tblOverlap w:val="never"/>
        <w:tblW w:w="84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5"/>
        <w:gridCol w:w="3230"/>
        <w:gridCol w:w="1080"/>
        <w:gridCol w:w="1080"/>
        <w:gridCol w:w="1080"/>
        <w:gridCol w:w="1330"/>
      </w:tblGrid>
      <w:tr w14:paraId="19D68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7BAC4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3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25CD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622F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规格/盒</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53CE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A0F9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限价（元）</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F571">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试剂耗材</w:t>
            </w:r>
            <w:r>
              <w:rPr>
                <w:rFonts w:hint="eastAsia" w:ascii="宋体" w:hAnsi="宋体" w:eastAsia="宋体" w:cs="宋体"/>
                <w:b/>
                <w:bCs/>
                <w:i w:val="0"/>
                <w:iCs w:val="0"/>
                <w:color w:val="000000"/>
                <w:kern w:val="0"/>
                <w:sz w:val="24"/>
                <w:szCs w:val="24"/>
                <w:u w:val="none"/>
                <w:lang w:val="en-US" w:eastAsia="zh-CN" w:bidi="ar"/>
              </w:rPr>
              <w:t>占比</w:t>
            </w:r>
            <w:r>
              <w:rPr>
                <w:rFonts w:hint="eastAsia" w:ascii="宋体" w:hAnsi="宋体" w:cs="宋体"/>
                <w:b/>
                <w:bCs/>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25%）</w:t>
            </w:r>
          </w:p>
        </w:tc>
      </w:tr>
      <w:tr w14:paraId="3F0A5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51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FF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凝血酶原时间（PT）试剂盒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E1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F0F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0F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0.94</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743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r>
      <w:tr w14:paraId="308A1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7B6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13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活化部分凝血活酶时间（APTT）试剂（含氯化钙）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81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B3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51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w:t>
            </w: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7B725">
            <w:pPr>
              <w:jc w:val="center"/>
              <w:rPr>
                <w:rFonts w:hint="eastAsia" w:ascii="宋体" w:hAnsi="宋体" w:eastAsia="宋体" w:cs="宋体"/>
                <w:i w:val="0"/>
                <w:iCs w:val="0"/>
                <w:color w:val="000000"/>
                <w:sz w:val="24"/>
                <w:szCs w:val="24"/>
                <w:u w:val="none"/>
              </w:rPr>
            </w:pPr>
          </w:p>
        </w:tc>
      </w:tr>
      <w:tr w14:paraId="30C02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32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1A4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纤维蛋白原（FIB）测定试剂+缓冲/稀释液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F5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4B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90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2.48</w:t>
            </w: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E1A99">
            <w:pPr>
              <w:jc w:val="center"/>
              <w:rPr>
                <w:rFonts w:hint="eastAsia" w:ascii="宋体" w:hAnsi="宋体" w:eastAsia="宋体" w:cs="宋体"/>
                <w:i w:val="0"/>
                <w:iCs w:val="0"/>
                <w:color w:val="000000"/>
                <w:sz w:val="24"/>
                <w:szCs w:val="24"/>
                <w:u w:val="none"/>
              </w:rPr>
            </w:pPr>
          </w:p>
        </w:tc>
      </w:tr>
      <w:tr w14:paraId="1C7AF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CB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DA7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凝血酶时间（TT）测定试剂盒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CD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7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337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060DF">
            <w:pPr>
              <w:jc w:val="center"/>
              <w:rPr>
                <w:rFonts w:hint="eastAsia" w:ascii="宋体" w:hAnsi="宋体" w:eastAsia="宋体" w:cs="宋体"/>
                <w:i w:val="0"/>
                <w:iCs w:val="0"/>
                <w:color w:val="000000"/>
                <w:sz w:val="24"/>
                <w:szCs w:val="24"/>
                <w:u w:val="none"/>
              </w:rPr>
            </w:pPr>
          </w:p>
        </w:tc>
      </w:tr>
      <w:tr w14:paraId="72139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C5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E47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凝血仪清洗液1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63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BE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D2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0.9</w:t>
            </w: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9A55C">
            <w:pPr>
              <w:jc w:val="center"/>
              <w:rPr>
                <w:rFonts w:hint="eastAsia" w:ascii="宋体" w:hAnsi="宋体" w:eastAsia="宋体" w:cs="宋体"/>
                <w:i w:val="0"/>
                <w:iCs w:val="0"/>
                <w:color w:val="000000"/>
                <w:sz w:val="24"/>
                <w:szCs w:val="24"/>
                <w:u w:val="none"/>
              </w:rPr>
            </w:pPr>
          </w:p>
        </w:tc>
      </w:tr>
      <w:tr w14:paraId="2D7F2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BE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F62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凝血仪清洗液2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12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4C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C65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0.28</w:t>
            </w: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A1C1A">
            <w:pPr>
              <w:jc w:val="center"/>
              <w:rPr>
                <w:rFonts w:hint="eastAsia" w:ascii="宋体" w:hAnsi="宋体" w:eastAsia="宋体" w:cs="宋体"/>
                <w:i w:val="0"/>
                <w:iCs w:val="0"/>
                <w:color w:val="000000"/>
                <w:sz w:val="24"/>
                <w:szCs w:val="24"/>
                <w:u w:val="none"/>
              </w:rPr>
            </w:pPr>
          </w:p>
        </w:tc>
      </w:tr>
      <w:tr w14:paraId="2E655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A6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10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凝血反应杯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4E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017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4个/人次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880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CB996">
            <w:pPr>
              <w:jc w:val="center"/>
              <w:rPr>
                <w:rFonts w:hint="eastAsia" w:ascii="宋体" w:hAnsi="宋体" w:eastAsia="宋体" w:cs="宋体"/>
                <w:i w:val="0"/>
                <w:iCs w:val="0"/>
                <w:color w:val="000000"/>
                <w:sz w:val="24"/>
                <w:szCs w:val="24"/>
                <w:u w:val="none"/>
              </w:rPr>
            </w:pPr>
          </w:p>
        </w:tc>
      </w:tr>
      <w:tr w14:paraId="197F1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CEE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A9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D-D （D二聚体）</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237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3B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86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951BF">
            <w:pPr>
              <w:jc w:val="center"/>
              <w:rPr>
                <w:rFonts w:hint="eastAsia" w:ascii="宋体" w:hAnsi="宋体" w:eastAsia="宋体" w:cs="宋体"/>
                <w:i w:val="0"/>
                <w:iCs w:val="0"/>
                <w:color w:val="000000"/>
                <w:sz w:val="24"/>
                <w:szCs w:val="24"/>
                <w:u w:val="none"/>
              </w:rPr>
            </w:pPr>
          </w:p>
        </w:tc>
      </w:tr>
      <w:tr w14:paraId="25FB1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3E8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EE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FDP（纤维蛋白降解产物）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45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4D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28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D12B0">
            <w:pPr>
              <w:jc w:val="center"/>
              <w:rPr>
                <w:rFonts w:hint="eastAsia" w:ascii="宋体" w:hAnsi="宋体" w:eastAsia="宋体" w:cs="宋体"/>
                <w:i w:val="0"/>
                <w:iCs w:val="0"/>
                <w:color w:val="000000"/>
                <w:sz w:val="24"/>
                <w:szCs w:val="24"/>
                <w:u w:val="none"/>
              </w:rPr>
            </w:pPr>
          </w:p>
        </w:tc>
      </w:tr>
      <w:tr w14:paraId="4F692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49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50F6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试剂合计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57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2B7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42.9</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CA26">
            <w:pPr>
              <w:jc w:val="center"/>
              <w:rPr>
                <w:rFonts w:hint="eastAsia" w:ascii="宋体" w:hAnsi="宋体" w:eastAsia="宋体" w:cs="宋体"/>
                <w:i w:val="0"/>
                <w:iCs w:val="0"/>
                <w:color w:val="000000"/>
                <w:sz w:val="24"/>
                <w:szCs w:val="24"/>
                <w:u w:val="none"/>
              </w:rPr>
            </w:pPr>
          </w:p>
        </w:tc>
      </w:tr>
      <w:tr w14:paraId="28CE1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29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DA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凝血（常规四项）质控品（两个浓度）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4F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18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ml</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A12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B0D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6C5CD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5B5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2B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D二聚体质控品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DF6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79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ml</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4F6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80F8B">
            <w:pPr>
              <w:jc w:val="center"/>
              <w:rPr>
                <w:rFonts w:hint="eastAsia" w:ascii="宋体" w:hAnsi="宋体" w:eastAsia="宋体" w:cs="宋体"/>
                <w:i w:val="0"/>
                <w:iCs w:val="0"/>
                <w:color w:val="000000"/>
                <w:sz w:val="24"/>
                <w:szCs w:val="24"/>
                <w:u w:val="none"/>
              </w:rPr>
            </w:pPr>
          </w:p>
        </w:tc>
      </w:tr>
      <w:tr w14:paraId="203DA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14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D8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FDP（纤维蛋白降解产物）质控品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8A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FA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ml</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496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B7CE2">
            <w:pPr>
              <w:jc w:val="center"/>
              <w:rPr>
                <w:rFonts w:hint="eastAsia" w:ascii="宋体" w:hAnsi="宋体" w:eastAsia="宋体" w:cs="宋体"/>
                <w:i w:val="0"/>
                <w:iCs w:val="0"/>
                <w:color w:val="000000"/>
                <w:sz w:val="24"/>
                <w:szCs w:val="24"/>
                <w:u w:val="none"/>
              </w:rPr>
            </w:pPr>
          </w:p>
        </w:tc>
      </w:tr>
      <w:tr w14:paraId="76864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BB7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05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校准品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209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48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ml</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B09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按临床科室需求免费提供</w:t>
            </w: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C7413">
            <w:pPr>
              <w:jc w:val="center"/>
              <w:rPr>
                <w:rFonts w:hint="eastAsia" w:ascii="宋体" w:hAnsi="宋体" w:eastAsia="宋体" w:cs="宋体"/>
                <w:i w:val="0"/>
                <w:iCs w:val="0"/>
                <w:color w:val="000000"/>
                <w:sz w:val="24"/>
                <w:szCs w:val="24"/>
                <w:u w:val="none"/>
              </w:rPr>
            </w:pPr>
          </w:p>
        </w:tc>
      </w:tr>
      <w:tr w14:paraId="0E1A5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2DF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质控、校准合计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213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ml</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DC95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440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03DB">
            <w:pPr>
              <w:jc w:val="center"/>
              <w:rPr>
                <w:rFonts w:hint="eastAsia" w:ascii="宋体" w:hAnsi="宋体" w:eastAsia="宋体" w:cs="宋体"/>
                <w:i w:val="0"/>
                <w:iCs w:val="0"/>
                <w:color w:val="000000"/>
                <w:sz w:val="24"/>
                <w:szCs w:val="24"/>
                <w:u w:val="none"/>
              </w:rPr>
            </w:pPr>
          </w:p>
        </w:tc>
      </w:tr>
    </w:tbl>
    <w:p w14:paraId="32AD2DC8">
      <w:pPr>
        <w:pStyle w:val="2"/>
        <w:rPr>
          <w:rFonts w:hint="eastAsia"/>
        </w:rPr>
      </w:pPr>
    </w:p>
    <w:p w14:paraId="15E60880">
      <w:pPr>
        <w:tabs>
          <w:tab w:val="left" w:pos="7140"/>
        </w:tabs>
        <w:spacing w:line="360" w:lineRule="auto"/>
        <w:ind w:firstLine="480" w:firstLineChars="200"/>
        <w:rPr>
          <w:rFonts w:hint="eastAsia" w:ascii="宋体" w:hAnsi="宋体" w:cs="宋体"/>
          <w:bCs/>
          <w:kern w:val="0"/>
          <w:sz w:val="24"/>
        </w:rPr>
      </w:pPr>
    </w:p>
    <w:p w14:paraId="44D3B2DA">
      <w:pPr>
        <w:tabs>
          <w:tab w:val="left" w:pos="7140"/>
        </w:tabs>
        <w:spacing w:line="360" w:lineRule="auto"/>
        <w:ind w:firstLine="480" w:firstLineChars="200"/>
        <w:rPr>
          <w:rFonts w:hint="eastAsia" w:ascii="宋体" w:hAnsi="宋体" w:cs="宋体"/>
          <w:bCs/>
          <w:kern w:val="0"/>
          <w:sz w:val="24"/>
        </w:rPr>
      </w:pPr>
    </w:p>
    <w:p w14:paraId="178F2FC3">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 w:val="0"/>
          <w:bCs w:val="0"/>
          <w:sz w:val="28"/>
          <w:szCs w:val="28"/>
          <w:lang w:val="en-US" w:eastAsia="zh-CN"/>
        </w:rPr>
      </w:pPr>
    </w:p>
    <w:p w14:paraId="2EAE55D6">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p>
    <w:p w14:paraId="5BF7AB7D">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p>
    <w:p w14:paraId="64A7AD3E">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p>
    <w:p w14:paraId="0ABB39A9">
      <w:pPr>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br w:type="page"/>
      </w:r>
    </w:p>
    <w:p w14:paraId="6D94CB3E">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 w:val="0"/>
          <w:bCs w:val="0"/>
          <w:sz w:val="28"/>
          <w:szCs w:val="28"/>
          <w:lang w:val="en-US" w:eastAsia="zh-CN"/>
        </w:rPr>
        <w:t>配置清单：</w:t>
      </w:r>
    </w:p>
    <w:p w14:paraId="65CDE2CB">
      <w:pPr>
        <w:pStyle w:val="2"/>
        <w:rPr>
          <w:rFonts w:hint="eastAsia"/>
        </w:rPr>
      </w:pPr>
    </w:p>
    <w:tbl>
      <w:tblPr>
        <w:tblStyle w:val="10"/>
        <w:tblW w:w="4328" w:type="pct"/>
        <w:tblInd w:w="609" w:type="dxa"/>
        <w:tblLayout w:type="fixed"/>
        <w:tblCellMar>
          <w:top w:w="0" w:type="dxa"/>
          <w:left w:w="108" w:type="dxa"/>
          <w:bottom w:w="0" w:type="dxa"/>
          <w:right w:w="108" w:type="dxa"/>
        </w:tblCellMar>
      </w:tblPr>
      <w:tblGrid>
        <w:gridCol w:w="2498"/>
        <w:gridCol w:w="3693"/>
        <w:gridCol w:w="2431"/>
      </w:tblGrid>
      <w:tr w14:paraId="2A982DB1">
        <w:tblPrEx>
          <w:tblCellMar>
            <w:top w:w="0" w:type="dxa"/>
            <w:left w:w="108" w:type="dxa"/>
            <w:bottom w:w="0" w:type="dxa"/>
            <w:right w:w="108" w:type="dxa"/>
          </w:tblCellMar>
        </w:tblPrEx>
        <w:trPr>
          <w:trHeight w:val="437" w:hRule="atLeast"/>
        </w:trPr>
        <w:tc>
          <w:tcPr>
            <w:tcW w:w="1448" w:type="pct"/>
            <w:tcBorders>
              <w:top w:val="single" w:color="auto" w:sz="4" w:space="0"/>
              <w:left w:val="single" w:color="auto" w:sz="4" w:space="0"/>
              <w:bottom w:val="single" w:color="auto" w:sz="4" w:space="0"/>
              <w:right w:val="single" w:color="auto" w:sz="4" w:space="0"/>
            </w:tcBorders>
          </w:tcPr>
          <w:p w14:paraId="4252ABB8">
            <w:pPr>
              <w:keepLines w:val="0"/>
              <w:pageBreakBefore w:val="0"/>
              <w:widowControl/>
              <w:kinsoku/>
              <w:wordWrap/>
              <w:overflowPunct/>
              <w:topLinePunct w:val="0"/>
              <w:autoSpaceDE/>
              <w:autoSpaceDN/>
              <w:bidi w:val="0"/>
              <w:spacing w:line="0" w:lineRule="atLeast"/>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产品名称</w:t>
            </w:r>
          </w:p>
        </w:tc>
        <w:tc>
          <w:tcPr>
            <w:tcW w:w="21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BF8570">
            <w:pPr>
              <w:keepLines w:val="0"/>
              <w:pageBreakBefore w:val="0"/>
              <w:widowControl/>
              <w:kinsoku/>
              <w:wordWrap/>
              <w:overflowPunct/>
              <w:topLinePunct w:val="0"/>
              <w:autoSpaceDE/>
              <w:autoSpaceDN/>
              <w:bidi w:val="0"/>
              <w:spacing w:line="0" w:lineRule="atLeast"/>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组成部分名称</w:t>
            </w:r>
          </w:p>
        </w:tc>
        <w:tc>
          <w:tcPr>
            <w:tcW w:w="1409" w:type="pct"/>
            <w:tcBorders>
              <w:top w:val="single" w:color="auto" w:sz="4" w:space="0"/>
              <w:left w:val="single" w:color="auto" w:sz="4" w:space="0"/>
              <w:bottom w:val="single" w:color="auto" w:sz="4" w:space="0"/>
              <w:right w:val="single" w:color="auto" w:sz="4" w:space="0"/>
            </w:tcBorders>
            <w:shd w:val="clear" w:color="auto" w:fill="auto"/>
            <w:vAlign w:val="center"/>
          </w:tcPr>
          <w:p w14:paraId="67AA5959">
            <w:pPr>
              <w:keepLines w:val="0"/>
              <w:pageBreakBefore w:val="0"/>
              <w:widowControl/>
              <w:kinsoku/>
              <w:wordWrap/>
              <w:overflowPunct/>
              <w:topLinePunct w:val="0"/>
              <w:autoSpaceDE/>
              <w:autoSpaceDN/>
              <w:bidi w:val="0"/>
              <w:spacing w:line="0" w:lineRule="atLeast"/>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数量</w:t>
            </w:r>
          </w:p>
        </w:tc>
      </w:tr>
      <w:tr w14:paraId="52CFB606">
        <w:tblPrEx>
          <w:tblCellMar>
            <w:top w:w="0" w:type="dxa"/>
            <w:left w:w="108" w:type="dxa"/>
            <w:bottom w:w="0" w:type="dxa"/>
            <w:right w:w="108" w:type="dxa"/>
          </w:tblCellMar>
        </w:tblPrEx>
        <w:trPr>
          <w:trHeight w:val="432" w:hRule="atLeast"/>
        </w:trPr>
        <w:tc>
          <w:tcPr>
            <w:tcW w:w="1448" w:type="pct"/>
            <w:vMerge w:val="restart"/>
            <w:tcBorders>
              <w:top w:val="single" w:color="auto" w:sz="4" w:space="0"/>
              <w:left w:val="single" w:color="auto" w:sz="4" w:space="0"/>
              <w:bottom w:val="single" w:color="auto" w:sz="4" w:space="0"/>
              <w:right w:val="single" w:color="auto" w:sz="4" w:space="0"/>
            </w:tcBorders>
          </w:tcPr>
          <w:p w14:paraId="5D3045B0">
            <w:pPr>
              <w:keepLines w:val="0"/>
              <w:pageBreakBefore w:val="0"/>
              <w:widowControl/>
              <w:kinsoku/>
              <w:wordWrap/>
              <w:overflowPunct/>
              <w:topLinePunct w:val="0"/>
              <w:autoSpaceDE/>
              <w:autoSpaceDN/>
              <w:bidi w:val="0"/>
              <w:spacing w:line="0" w:lineRule="atLeast"/>
              <w:jc w:val="left"/>
              <w:textAlignment w:val="auto"/>
              <w:rPr>
                <w:rFonts w:hint="eastAsia" w:asciiTheme="minorEastAsia" w:hAnsiTheme="minorEastAsia" w:eastAsiaTheme="minorEastAsia" w:cstheme="minorEastAsia"/>
                <w:sz w:val="24"/>
                <w:szCs w:val="24"/>
              </w:rPr>
            </w:pPr>
          </w:p>
          <w:p w14:paraId="52112C89">
            <w:pPr>
              <w:keepLines w:val="0"/>
              <w:pageBreakBefore w:val="0"/>
              <w:widowControl/>
              <w:kinsoku/>
              <w:wordWrap/>
              <w:overflowPunct/>
              <w:topLinePunct w:val="0"/>
              <w:autoSpaceDE/>
              <w:autoSpaceDN/>
              <w:bidi w:val="0"/>
              <w:spacing w:line="0" w:lineRule="atLeast"/>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全自动</w:t>
            </w:r>
            <w:r>
              <w:rPr>
                <w:rFonts w:hint="eastAsia" w:asciiTheme="minorEastAsia" w:hAnsiTheme="minorEastAsia" w:eastAsiaTheme="minorEastAsia" w:cstheme="minorEastAsia"/>
                <w:sz w:val="24"/>
                <w:szCs w:val="24"/>
                <w:lang w:val="en-US" w:eastAsia="zh-CN"/>
              </w:rPr>
              <w:t>血凝</w:t>
            </w:r>
            <w:r>
              <w:rPr>
                <w:rFonts w:hint="eastAsia" w:asciiTheme="minorEastAsia" w:hAnsiTheme="minorEastAsia" w:eastAsiaTheme="minorEastAsia" w:cstheme="minorEastAsia"/>
                <w:sz w:val="24"/>
                <w:szCs w:val="24"/>
              </w:rPr>
              <w:t>分析仪</w:t>
            </w:r>
          </w:p>
        </w:tc>
        <w:tc>
          <w:tcPr>
            <w:tcW w:w="2141" w:type="pct"/>
            <w:tcBorders>
              <w:top w:val="single" w:color="auto" w:sz="4" w:space="0"/>
              <w:left w:val="single" w:color="auto" w:sz="4" w:space="0"/>
              <w:bottom w:val="single" w:color="auto" w:sz="4" w:space="0"/>
              <w:right w:val="single" w:color="auto" w:sz="4" w:space="0"/>
            </w:tcBorders>
            <w:shd w:val="clear" w:color="auto" w:fill="auto"/>
            <w:noWrap/>
          </w:tcPr>
          <w:p w14:paraId="79527BA8">
            <w:pPr>
              <w:keepLines w:val="0"/>
              <w:pageBreakBefore w:val="0"/>
              <w:widowControl/>
              <w:kinsoku/>
              <w:wordWrap/>
              <w:overflowPunct/>
              <w:topLinePunct w:val="0"/>
              <w:autoSpaceDE/>
              <w:autoSpaceDN/>
              <w:bidi w:val="0"/>
              <w:spacing w:line="0" w:lineRule="atLeast"/>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单机</w:t>
            </w:r>
          </w:p>
        </w:tc>
        <w:tc>
          <w:tcPr>
            <w:tcW w:w="14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930EA5">
            <w:pPr>
              <w:keepLines w:val="0"/>
              <w:pageBreakBefore w:val="0"/>
              <w:widowControl/>
              <w:kinsoku/>
              <w:wordWrap/>
              <w:overflowPunct/>
              <w:topLinePunct w:val="0"/>
              <w:autoSpaceDE/>
              <w:autoSpaceDN/>
              <w:bidi w:val="0"/>
              <w:spacing w:line="0" w:lineRule="atLeas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台</w:t>
            </w:r>
          </w:p>
        </w:tc>
      </w:tr>
      <w:tr w14:paraId="467302DE">
        <w:tblPrEx>
          <w:tblCellMar>
            <w:top w:w="0" w:type="dxa"/>
            <w:left w:w="108" w:type="dxa"/>
            <w:bottom w:w="0" w:type="dxa"/>
            <w:right w:w="108" w:type="dxa"/>
          </w:tblCellMar>
        </w:tblPrEx>
        <w:trPr>
          <w:trHeight w:val="432" w:hRule="atLeast"/>
        </w:trPr>
        <w:tc>
          <w:tcPr>
            <w:tcW w:w="1448" w:type="pct"/>
            <w:vMerge w:val="continue"/>
            <w:tcBorders>
              <w:top w:val="single" w:color="auto" w:sz="4" w:space="0"/>
              <w:left w:val="single" w:color="auto" w:sz="4" w:space="0"/>
              <w:bottom w:val="single" w:color="auto" w:sz="4" w:space="0"/>
              <w:right w:val="single" w:color="auto" w:sz="4" w:space="0"/>
            </w:tcBorders>
          </w:tcPr>
          <w:p w14:paraId="2194256A">
            <w:pPr>
              <w:keepLines w:val="0"/>
              <w:pageBreakBefore w:val="0"/>
              <w:widowControl/>
              <w:kinsoku/>
              <w:wordWrap/>
              <w:overflowPunct/>
              <w:topLinePunct w:val="0"/>
              <w:autoSpaceDE/>
              <w:autoSpaceDN/>
              <w:bidi w:val="0"/>
              <w:spacing w:line="0" w:lineRule="atLeast"/>
              <w:jc w:val="left"/>
              <w:textAlignment w:val="auto"/>
              <w:rPr>
                <w:rFonts w:hint="eastAsia" w:asciiTheme="minorEastAsia" w:hAnsiTheme="minorEastAsia" w:eastAsiaTheme="minorEastAsia" w:cstheme="minorEastAsia"/>
                <w:sz w:val="24"/>
                <w:szCs w:val="24"/>
              </w:rPr>
            </w:pPr>
          </w:p>
        </w:tc>
        <w:tc>
          <w:tcPr>
            <w:tcW w:w="21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F2E036">
            <w:pPr>
              <w:keepLines w:val="0"/>
              <w:pageBreakBefore w:val="0"/>
              <w:kinsoku/>
              <w:wordWrap/>
              <w:overflowPunct/>
              <w:topLinePunct w:val="0"/>
              <w:autoSpaceDE/>
              <w:autoSpaceDN/>
              <w:bidi w:val="0"/>
              <w:spacing w:line="0" w:lineRule="atLeast"/>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进出样模块及离心模块</w:t>
            </w:r>
          </w:p>
        </w:tc>
        <w:tc>
          <w:tcPr>
            <w:tcW w:w="14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2C6B9C">
            <w:pPr>
              <w:keepLines w:val="0"/>
              <w:pageBreakBefore w:val="0"/>
              <w:kinsoku/>
              <w:wordWrap/>
              <w:overflowPunct/>
              <w:topLinePunct w:val="0"/>
              <w:autoSpaceDE/>
              <w:autoSpaceDN/>
              <w:bidi w:val="0"/>
              <w:spacing w:line="0" w:lineRule="atLeast"/>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1套</w:t>
            </w:r>
          </w:p>
        </w:tc>
      </w:tr>
      <w:tr w14:paraId="0FA93281">
        <w:tblPrEx>
          <w:tblCellMar>
            <w:top w:w="0" w:type="dxa"/>
            <w:left w:w="108" w:type="dxa"/>
            <w:bottom w:w="0" w:type="dxa"/>
            <w:right w:w="108" w:type="dxa"/>
          </w:tblCellMar>
        </w:tblPrEx>
        <w:trPr>
          <w:trHeight w:val="512" w:hRule="atLeast"/>
        </w:trPr>
        <w:tc>
          <w:tcPr>
            <w:tcW w:w="1448" w:type="pct"/>
            <w:vMerge w:val="continue"/>
            <w:tcBorders>
              <w:top w:val="single" w:color="auto" w:sz="4" w:space="0"/>
              <w:left w:val="single" w:color="auto" w:sz="4" w:space="0"/>
              <w:bottom w:val="single" w:color="auto" w:sz="4" w:space="0"/>
              <w:right w:val="single" w:color="auto" w:sz="4" w:space="0"/>
            </w:tcBorders>
          </w:tcPr>
          <w:p w14:paraId="12808299">
            <w:pPr>
              <w:keepLines w:val="0"/>
              <w:pageBreakBefore w:val="0"/>
              <w:widowControl/>
              <w:kinsoku/>
              <w:wordWrap/>
              <w:overflowPunct/>
              <w:topLinePunct w:val="0"/>
              <w:autoSpaceDE/>
              <w:autoSpaceDN/>
              <w:bidi w:val="0"/>
              <w:spacing w:line="0" w:lineRule="atLeast"/>
              <w:jc w:val="left"/>
              <w:textAlignment w:val="auto"/>
              <w:rPr>
                <w:rFonts w:hint="eastAsia" w:asciiTheme="minorEastAsia" w:hAnsiTheme="minorEastAsia" w:eastAsiaTheme="minorEastAsia" w:cstheme="minorEastAsia"/>
                <w:sz w:val="24"/>
                <w:szCs w:val="24"/>
              </w:rPr>
            </w:pPr>
          </w:p>
        </w:tc>
        <w:tc>
          <w:tcPr>
            <w:tcW w:w="2141" w:type="pct"/>
            <w:tcBorders>
              <w:top w:val="single" w:color="auto" w:sz="4" w:space="0"/>
              <w:left w:val="single" w:color="auto" w:sz="4" w:space="0"/>
              <w:bottom w:val="single" w:color="auto" w:sz="4" w:space="0"/>
              <w:right w:val="single" w:color="auto" w:sz="4" w:space="0"/>
            </w:tcBorders>
            <w:shd w:val="clear" w:color="auto" w:fill="auto"/>
            <w:noWrap/>
          </w:tcPr>
          <w:p w14:paraId="5191128F">
            <w:pPr>
              <w:keepLines w:val="0"/>
              <w:pageBreakBefore w:val="0"/>
              <w:widowControl/>
              <w:kinsoku/>
              <w:wordWrap/>
              <w:overflowPunct/>
              <w:topLinePunct w:val="0"/>
              <w:autoSpaceDE/>
              <w:autoSpaceDN/>
              <w:bidi w:val="0"/>
              <w:spacing w:line="0" w:lineRule="atLeast"/>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中文电脑</w:t>
            </w:r>
          </w:p>
        </w:tc>
        <w:tc>
          <w:tcPr>
            <w:tcW w:w="14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E74078">
            <w:pPr>
              <w:keepLines w:val="0"/>
              <w:pageBreakBefore w:val="0"/>
              <w:widowControl/>
              <w:kinsoku/>
              <w:wordWrap/>
              <w:overflowPunct/>
              <w:topLinePunct w:val="0"/>
              <w:autoSpaceDE/>
              <w:autoSpaceDN/>
              <w:bidi w:val="0"/>
              <w:spacing w:line="0" w:lineRule="atLeast"/>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1台</w:t>
            </w:r>
          </w:p>
        </w:tc>
      </w:tr>
    </w:tbl>
    <w:p w14:paraId="70190767">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p>
    <w:p w14:paraId="3945AA94">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560" w:firstLineChars="200"/>
        <w:textAlignment w:val="auto"/>
        <w:rPr>
          <w:rFonts w:hint="default"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sz w:val="28"/>
          <w:szCs w:val="28"/>
          <w:lang w:val="en-US" w:eastAsia="zh-CN"/>
        </w:rPr>
        <w:t>商务参数:</w:t>
      </w:r>
    </w:p>
    <w:p w14:paraId="43874633">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运输、装卸、培训、安装调试：由中标人负责承担，最终通过使用科室、设备科及相关部门确认验收交付使用。国产设备交付，设备必须为6个月内生产的产品；进口设备交付，设备必须为一年内生产的产品。</w:t>
      </w:r>
      <w:r>
        <w:rPr>
          <w:rFonts w:hint="eastAsia" w:asciiTheme="minorEastAsia" w:hAnsiTheme="minorEastAsia" w:eastAsiaTheme="minorEastAsia" w:cstheme="minorEastAsia"/>
          <w:bCs/>
          <w:color w:val="auto"/>
          <w:kern w:val="0"/>
          <w:sz w:val="24"/>
          <w:szCs w:val="24"/>
          <w:lang w:val="en-US" w:eastAsia="zh-CN" w:bidi="ar-SA"/>
        </w:rPr>
        <w:cr/>
      </w:r>
      <w:r>
        <w:rPr>
          <w:rFonts w:hint="eastAsia" w:asciiTheme="minorEastAsia" w:hAnsiTheme="minorEastAsia" w:eastAsiaTheme="minorEastAsia" w:cstheme="minorEastAsia"/>
          <w:bCs/>
          <w:color w:val="auto"/>
          <w:kern w:val="0"/>
          <w:sz w:val="24"/>
          <w:szCs w:val="24"/>
          <w:lang w:val="en-US" w:eastAsia="zh-CN" w:bidi="ar-SA"/>
        </w:rPr>
        <w:t xml:space="preserve">    ★2、交货时间：按合同约定的日期交货。</w:t>
      </w:r>
    </w:p>
    <w:p w14:paraId="5FF3A25B">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★3、交货地点：娄底市中心医院指定地点。</w:t>
      </w:r>
    </w:p>
    <w:p w14:paraId="2102653D">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付款方式：设备验收合格后，供应商将发票交到娄底市中心医院后按程序支付货款90%（按医院财务制度一般情况下4个月内支付、特殊情况下最多不超过6个月），甲方在设备验收合格满3年后支付10%余款给乙方。</w:t>
      </w:r>
      <w:r>
        <w:rPr>
          <w:rFonts w:hint="eastAsia" w:asciiTheme="minorEastAsia" w:hAnsiTheme="minorEastAsia" w:eastAsiaTheme="minorEastAsia" w:cstheme="minorEastAsia"/>
          <w:bCs/>
          <w:color w:val="auto"/>
          <w:kern w:val="0"/>
          <w:sz w:val="24"/>
          <w:szCs w:val="24"/>
          <w:lang w:val="en-US" w:eastAsia="zh-CN" w:bidi="ar-SA"/>
        </w:rPr>
        <w:cr/>
      </w:r>
      <w:r>
        <w:rPr>
          <w:rFonts w:hint="eastAsia" w:asciiTheme="minorEastAsia" w:hAnsiTheme="minorEastAsia" w:eastAsiaTheme="minorEastAsia" w:cstheme="minorEastAsia"/>
          <w:bCs/>
          <w:color w:val="auto"/>
          <w:kern w:val="0"/>
          <w:sz w:val="24"/>
          <w:szCs w:val="24"/>
          <w:lang w:val="en-US" w:eastAsia="zh-CN" w:bidi="ar-SA"/>
        </w:rPr>
        <w:t xml:space="preserve">    ★5、质保与售后：整机保修 3年，终身维修。验收时出具原厂售后质保承诺书，质保期内每年巡检一次，并提交巡检记录。</w:t>
      </w:r>
      <w:r>
        <w:rPr>
          <w:rFonts w:hint="eastAsia" w:asciiTheme="minorEastAsia" w:hAnsiTheme="minorEastAsia" w:eastAsiaTheme="minorEastAsia" w:cstheme="minorEastAsia"/>
          <w:bCs/>
          <w:color w:val="auto"/>
          <w:kern w:val="0"/>
          <w:sz w:val="24"/>
          <w:szCs w:val="24"/>
          <w:lang w:val="zh-CN" w:eastAsia="zh-CN" w:bidi="ar-SA"/>
        </w:rPr>
        <w:t>质保期内</w:t>
      </w:r>
      <w:r>
        <w:rPr>
          <w:rFonts w:hint="eastAsia" w:asciiTheme="minorEastAsia" w:hAnsiTheme="minorEastAsia" w:eastAsiaTheme="minorEastAsia" w:cstheme="minorEastAsia"/>
          <w:bCs/>
          <w:color w:val="auto"/>
          <w:kern w:val="0"/>
          <w:sz w:val="24"/>
          <w:szCs w:val="24"/>
          <w:lang w:val="en-US" w:eastAsia="zh-CN" w:bidi="ar-SA"/>
        </w:rPr>
        <w:t>出现故障，1小时响应，响应后24小时上门服务。</w:t>
      </w:r>
    </w:p>
    <w:p w14:paraId="2DFE31DF">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★6、在投标文件中必须提供相关佐证资料(加盖投标人公章的技术参数、技术白皮书、说明书、彩页)，并在响应表中备注该条参数响应或正偏离的佐证资料所在页码。</w:t>
      </w:r>
    </w:p>
    <w:p w14:paraId="6FB5D554">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★7、设备如涉及网络接口费用，由中标人承担，采购人不再出具任何费用。</w:t>
      </w:r>
    </w:p>
    <w:p w14:paraId="20BBBD3E">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FF0000"/>
          <w:kern w:val="0"/>
          <w:sz w:val="24"/>
          <w:szCs w:val="24"/>
          <w:lang w:val="en-US" w:eastAsia="zh-CN" w:bidi="ar-SA"/>
        </w:rPr>
        <w:t>★8、所有投标人均需提供承诺，承诺销售的设备、试剂均合法合规，可根据相关法律要求开具合法合规的发票、清单，如因投标人的原因，医院在使用过程中发生的一切法律后果均由中标人承担。</w:t>
      </w:r>
    </w:p>
    <w:p w14:paraId="0CBF7977">
      <w:pPr>
        <w:pStyle w:val="2"/>
        <w:ind w:left="0" w:leftChars="0" w:firstLine="0" w:firstLineChars="0"/>
        <w:rPr>
          <w:rFonts w:hint="eastAsia"/>
          <w:lang w:val="en-US" w:eastAsia="zh-CN"/>
        </w:rPr>
      </w:pPr>
    </w:p>
    <w:p w14:paraId="6CCE8EC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3A5BA1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724A216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3B0FD78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089B0E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4BEBEB5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32E1FA4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2B9C621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3FE4A8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2A1E9FB">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465C7F2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6D077D5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DFE3FEF">
      <w:pPr>
        <w:keepNext w:val="0"/>
        <w:keepLines w:val="0"/>
        <w:pageBreakBefore w:val="0"/>
        <w:widowControl w:val="0"/>
        <w:kinsoku/>
        <w:wordWrap/>
        <w:overflowPunct/>
        <w:topLinePunct w:val="0"/>
        <w:autoSpaceDE/>
        <w:autoSpaceDN/>
        <w:bidi w:val="0"/>
        <w:adjustRightInd/>
        <w:snapToGrid/>
        <w:spacing w:line="520" w:lineRule="exact"/>
        <w:ind w:firstLine="6720" w:firstLineChars="2800"/>
        <w:textAlignment w:val="auto"/>
        <w:rPr>
          <w:rFonts w:hint="eastAsia" w:ascii="宋体" w:hAnsi="宋体" w:eastAsia="宋体" w:cs="宋体"/>
          <w:sz w:val="24"/>
        </w:rPr>
      </w:pPr>
      <w:r>
        <w:rPr>
          <w:rFonts w:hint="eastAsia" w:ascii="宋体" w:hAnsi="宋体" w:eastAsia="宋体" w:cs="宋体"/>
          <w:sz w:val="24"/>
        </w:rPr>
        <w:t>合同编号：</w:t>
      </w:r>
    </w:p>
    <w:p w14:paraId="5DE777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5887DD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6F445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8B557E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4FF9499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15A30D1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364053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34C4B26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7218A9E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6F8EE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33A7DAE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06E9888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全自动血凝分析仪</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全自动血凝分析仪</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A6DBC6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0"/>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243DDE05">
            <w:pPr>
              <w:widowControl/>
              <w:spacing w:line="320" w:lineRule="exact"/>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color w:val="000000" w:themeColor="text1"/>
                <w:kern w:val="0"/>
                <w:sz w:val="18"/>
                <w:szCs w:val="18"/>
                <w:lang w:eastAsia="zh-CN"/>
                <w14:textFill>
                  <w14:solidFill>
                    <w14:schemeClr w14:val="tx1"/>
                  </w14:solidFill>
                </w14:textFill>
              </w:rPr>
              <w:t>全自动血凝分析仪</w:t>
            </w:r>
          </w:p>
        </w:tc>
        <w:tc>
          <w:tcPr>
            <w:tcW w:w="1500" w:type="dxa"/>
            <w:vAlign w:val="center"/>
          </w:tcPr>
          <w:p w14:paraId="747B32D7">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355A57D2">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65E7D48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w:t>
            </w:r>
            <w:r>
              <w:rPr>
                <w:rFonts w:hint="eastAsia" w:ascii="宋体" w:hAnsi="宋体" w:cs="宋体"/>
                <w:color w:val="000000" w:themeColor="text1"/>
                <w:kern w:val="0"/>
                <w:sz w:val="18"/>
                <w:szCs w:val="18"/>
                <w:lang w:val="en-US" w:eastAsia="zh-CN"/>
                <w14:textFill>
                  <w14:solidFill>
                    <w14:schemeClr w14:val="tx1"/>
                  </w14:solidFill>
                </w14:textFill>
              </w:rPr>
              <w:t>套</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0BE460F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w:t>
      </w:r>
    </w:p>
    <w:p w14:paraId="012D2C9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2A91D4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1</w:t>
      </w:r>
    </w:p>
    <w:p w14:paraId="2941C6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sz w:val="24"/>
          <w:lang w:val="en-US" w:eastAsia="zh-CN"/>
        </w:rPr>
      </w:pPr>
    </w:p>
    <w:p w14:paraId="5F4B0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.1.2 本合同约定价格为固定总价，不因物价、市场波动变更，约定价格包括且不限于设计费、材料费、人工费、安装费、包装费、运输费、装卸费、调试费、接口费、检测费、检验费、税费、保险费、售后服务费、附随服务费等在内所有费用。</w:t>
      </w:r>
    </w:p>
    <w:p w14:paraId="759401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49FA2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0"/>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3A6F5663">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8A3">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B67F95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1993F5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spacing w:beforeLines="0" w:afterLines="0"/>
              <w:jc w:val="both"/>
              <w:rPr>
                <w:rFonts w:hint="default" w:ascii="宋体" w:hAnsi="宋体" w:eastAsiaTheme="minorEastAsia" w:cstheme="minorBidi"/>
                <w:color w:val="000000"/>
                <w:kern w:val="2"/>
                <w:sz w:val="18"/>
                <w:szCs w:val="18"/>
                <w:lang w:val="en-US" w:eastAsia="zh-CN" w:bidi="ar-SA"/>
              </w:rPr>
            </w:pPr>
            <w:r>
              <w:rPr>
                <w:rFonts w:hint="eastAsia" w:ascii="宋体" w:hAnsi="宋体" w:cstheme="minorBidi"/>
                <w:color w:val="000000"/>
                <w:kern w:val="2"/>
                <w:sz w:val="18"/>
                <w:szCs w:val="18"/>
                <w:lang w:val="en-US" w:eastAsia="zh-CN" w:bidi="ar-SA"/>
              </w:rPr>
              <w:t>专机专用耗材</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40">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15674ED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4D2450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112707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46CDBA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20DD3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19705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361C31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7248283@qq.com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w:t>
      </w:r>
    </w:p>
    <w:p w14:paraId="22820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4A090C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838E1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1117EF11">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14FDADB0">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2"/>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DBD436D">
      <w:pPr>
        <w:pStyle w:val="2"/>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03F3F8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5147420F">
      <w:pPr>
        <w:pStyle w:val="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6BD40378">
      <w:pPr>
        <w:pStyle w:val="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94475EA">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F923C19">
      <w:pPr>
        <w:pStyle w:val="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F5EEFF6">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2842F65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pPr>
    </w:p>
    <w:p w14:paraId="532490A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4FFCD74A">
      <w:pPr>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br w:type="page"/>
      </w:r>
    </w:p>
    <w:p w14:paraId="6BC10BB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4DDA99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593715" cy="7958455"/>
            <wp:effectExtent l="0" t="0" r="6985" b="444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593715" cy="7958455"/>
                    </a:xfrm>
                    <a:prstGeom prst="rect">
                      <a:avLst/>
                    </a:prstGeom>
                  </pic:spPr>
                </pic:pic>
              </a:graphicData>
            </a:graphic>
          </wp:inline>
        </w:drawing>
      </w:r>
      <w:r>
        <w:rPr>
          <w:rFonts w:hint="eastAsia" w:eastAsiaTheme="minorEastAsia"/>
          <w:lang w:eastAsia="zh-CN"/>
        </w:rPr>
        <w:drawing>
          <wp:inline distT="0" distB="0" distL="114300" distR="114300">
            <wp:extent cx="5650230" cy="8082915"/>
            <wp:effectExtent l="0" t="0" r="762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650230" cy="8082915"/>
                    </a:xfrm>
                    <a:prstGeom prst="rect">
                      <a:avLst/>
                    </a:prstGeom>
                  </pic:spPr>
                </pic:pic>
              </a:graphicData>
            </a:graphic>
          </wp:inline>
        </w:drawing>
      </w:r>
      <w:r>
        <w:rPr>
          <w:rFonts w:hint="eastAsia" w:eastAsiaTheme="minorEastAsia"/>
          <w:lang w:eastAsia="zh-CN"/>
        </w:rPr>
        <w:drawing>
          <wp:inline distT="0" distB="0" distL="114300" distR="114300">
            <wp:extent cx="5786120" cy="8161020"/>
            <wp:effectExtent l="0" t="0" r="5080" b="1143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86120" cy="8161020"/>
                    </a:xfrm>
                    <a:prstGeom prst="rect">
                      <a:avLst/>
                    </a:prstGeom>
                  </pic:spPr>
                </pic:pic>
              </a:graphicData>
            </a:graphic>
          </wp:inline>
        </w:drawing>
      </w:r>
      <w:r>
        <w:rPr>
          <w:rFonts w:hint="eastAsia" w:eastAsiaTheme="minorEastAsia"/>
          <w:lang w:eastAsia="zh-CN"/>
        </w:rPr>
        <w:drawing>
          <wp:inline distT="0" distB="0" distL="114300" distR="114300">
            <wp:extent cx="5793740" cy="8176260"/>
            <wp:effectExtent l="0" t="0" r="16510" b="15240"/>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93740" cy="8176260"/>
                    </a:xfrm>
                    <a:prstGeom prst="rect">
                      <a:avLst/>
                    </a:prstGeom>
                  </pic:spPr>
                </pic:pic>
              </a:graphicData>
            </a:graphic>
          </wp:inline>
        </w:drawing>
      </w:r>
    </w:p>
    <w:p w14:paraId="4F5B69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p>
    <w:p w14:paraId="18C0EA55">
      <w:pPr>
        <w:rPr>
          <w:rFonts w:hint="eastAsia" w:ascii="宋体" w:hAnsi="宋体" w:cs="宋体"/>
          <w:color w:val="auto"/>
          <w:sz w:val="44"/>
          <w:szCs w:val="44"/>
          <w:lang w:val="en-US" w:eastAsia="zh-CN"/>
        </w:rPr>
      </w:pPr>
    </w:p>
    <w:p w14:paraId="5DEF8A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614BF35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宋体" w:hAnsi="宋体" w:cs="宋体"/>
          <w:b/>
          <w:color w:val="auto"/>
          <w:sz w:val="32"/>
          <w:szCs w:val="32"/>
        </w:rPr>
        <w:t>综合评分表</w:t>
      </w:r>
    </w:p>
    <w:p w14:paraId="7767AB17">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本采购项目的权值见下表</w:t>
      </w:r>
    </w:p>
    <w:tbl>
      <w:tblPr>
        <w:tblStyle w:val="10"/>
        <w:tblW w:w="882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680"/>
        <w:gridCol w:w="3420"/>
      </w:tblGrid>
      <w:tr w14:paraId="2F98C7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720" w:type="dxa"/>
            <w:tcBorders>
              <w:top w:val="double" w:color="auto" w:sz="4" w:space="0"/>
              <w:left w:val="double" w:color="auto" w:sz="4" w:space="0"/>
              <w:bottom w:val="single" w:color="auto" w:sz="6" w:space="0"/>
              <w:right w:val="single" w:color="auto" w:sz="6" w:space="0"/>
            </w:tcBorders>
            <w:vAlign w:val="center"/>
          </w:tcPr>
          <w:p w14:paraId="54BC1FA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4680" w:type="dxa"/>
            <w:tcBorders>
              <w:top w:val="double" w:color="auto" w:sz="4" w:space="0"/>
              <w:left w:val="single" w:color="auto" w:sz="6" w:space="0"/>
              <w:bottom w:val="single" w:color="auto" w:sz="6" w:space="0"/>
              <w:right w:val="single" w:color="auto" w:sz="6" w:space="0"/>
            </w:tcBorders>
            <w:vAlign w:val="center"/>
          </w:tcPr>
          <w:p w14:paraId="44942BC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     目</w:t>
            </w:r>
          </w:p>
        </w:tc>
        <w:tc>
          <w:tcPr>
            <w:tcW w:w="3420" w:type="dxa"/>
            <w:tcBorders>
              <w:top w:val="double" w:color="auto" w:sz="4" w:space="0"/>
              <w:left w:val="single" w:color="auto" w:sz="6" w:space="0"/>
              <w:bottom w:val="single" w:color="auto" w:sz="6" w:space="0"/>
              <w:right w:val="double" w:color="auto" w:sz="4" w:space="0"/>
            </w:tcBorders>
            <w:vAlign w:val="center"/>
          </w:tcPr>
          <w:p w14:paraId="1315ADE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权值的取值</w:t>
            </w:r>
          </w:p>
        </w:tc>
      </w:tr>
      <w:tr w14:paraId="749A52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0" w:type="dxa"/>
            <w:tcBorders>
              <w:top w:val="single" w:color="auto" w:sz="6" w:space="0"/>
              <w:left w:val="double" w:color="auto" w:sz="4" w:space="0"/>
              <w:bottom w:val="single" w:color="auto" w:sz="6" w:space="0"/>
              <w:right w:val="single" w:color="auto" w:sz="6" w:space="0"/>
            </w:tcBorders>
            <w:vAlign w:val="center"/>
          </w:tcPr>
          <w:p w14:paraId="6F4E3B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680" w:type="dxa"/>
            <w:tcBorders>
              <w:top w:val="single" w:color="auto" w:sz="6" w:space="0"/>
              <w:left w:val="single" w:color="auto" w:sz="6" w:space="0"/>
              <w:bottom w:val="single" w:color="auto" w:sz="6" w:space="0"/>
              <w:right w:val="single" w:color="auto" w:sz="6" w:space="0"/>
            </w:tcBorders>
            <w:vAlign w:val="center"/>
          </w:tcPr>
          <w:p w14:paraId="2A30B183">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报价（A1）</w:t>
            </w:r>
          </w:p>
        </w:tc>
        <w:tc>
          <w:tcPr>
            <w:tcW w:w="3420" w:type="dxa"/>
            <w:tcBorders>
              <w:top w:val="single" w:color="auto" w:sz="6" w:space="0"/>
              <w:left w:val="single" w:color="auto" w:sz="6" w:space="0"/>
              <w:bottom w:val="single" w:color="auto" w:sz="6" w:space="0"/>
              <w:right w:val="double" w:color="auto" w:sz="4" w:space="0"/>
            </w:tcBorders>
            <w:vAlign w:val="center"/>
          </w:tcPr>
          <w:p w14:paraId="45D1CFD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50%（设备25%+专机耗材25%）</w:t>
            </w:r>
          </w:p>
        </w:tc>
      </w:tr>
      <w:tr w14:paraId="05D80E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tcBorders>
              <w:top w:val="single" w:color="auto" w:sz="6" w:space="0"/>
              <w:left w:val="double" w:color="auto" w:sz="4" w:space="0"/>
              <w:bottom w:val="single" w:color="auto" w:sz="6" w:space="0"/>
              <w:right w:val="single" w:color="auto" w:sz="6" w:space="0"/>
            </w:tcBorders>
            <w:vAlign w:val="center"/>
          </w:tcPr>
          <w:p w14:paraId="01B6E69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680" w:type="dxa"/>
            <w:tcBorders>
              <w:top w:val="single" w:color="auto" w:sz="6" w:space="0"/>
              <w:left w:val="single" w:color="auto" w:sz="6" w:space="0"/>
              <w:bottom w:val="single" w:color="auto" w:sz="6" w:space="0"/>
              <w:right w:val="single" w:color="auto" w:sz="6" w:space="0"/>
            </w:tcBorders>
            <w:vAlign w:val="center"/>
          </w:tcPr>
          <w:p w14:paraId="5C332B3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技术（A2）</w:t>
            </w:r>
          </w:p>
        </w:tc>
        <w:tc>
          <w:tcPr>
            <w:tcW w:w="3420" w:type="dxa"/>
            <w:tcBorders>
              <w:top w:val="single" w:color="auto" w:sz="6" w:space="0"/>
              <w:left w:val="single" w:color="auto" w:sz="6" w:space="0"/>
              <w:bottom w:val="single" w:color="auto" w:sz="6" w:space="0"/>
              <w:right w:val="double" w:color="auto" w:sz="4" w:space="0"/>
            </w:tcBorders>
            <w:vAlign w:val="center"/>
          </w:tcPr>
          <w:p w14:paraId="7D07920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r>
      <w:tr w14:paraId="1A01F1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tcBorders>
              <w:top w:val="single" w:color="auto" w:sz="6" w:space="0"/>
              <w:left w:val="double" w:color="auto" w:sz="4" w:space="0"/>
              <w:bottom w:val="single" w:color="auto" w:sz="6" w:space="0"/>
              <w:right w:val="single" w:color="auto" w:sz="6" w:space="0"/>
            </w:tcBorders>
            <w:vAlign w:val="center"/>
          </w:tcPr>
          <w:p w14:paraId="68F20CB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4680" w:type="dxa"/>
            <w:tcBorders>
              <w:top w:val="single" w:color="auto" w:sz="6" w:space="0"/>
              <w:left w:val="single" w:color="auto" w:sz="6" w:space="0"/>
              <w:bottom w:val="single" w:color="auto" w:sz="6" w:space="0"/>
              <w:right w:val="single" w:color="auto" w:sz="6" w:space="0"/>
            </w:tcBorders>
            <w:vAlign w:val="center"/>
          </w:tcPr>
          <w:p w14:paraId="5495DED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商务（A3）</w:t>
            </w:r>
          </w:p>
        </w:tc>
        <w:tc>
          <w:tcPr>
            <w:tcW w:w="3420" w:type="dxa"/>
            <w:tcBorders>
              <w:top w:val="single" w:color="auto" w:sz="6" w:space="0"/>
              <w:left w:val="single" w:color="auto" w:sz="6" w:space="0"/>
              <w:bottom w:val="single" w:color="auto" w:sz="6" w:space="0"/>
              <w:right w:val="double" w:color="auto" w:sz="4" w:space="0"/>
            </w:tcBorders>
            <w:vAlign w:val="center"/>
          </w:tcPr>
          <w:p w14:paraId="50724DA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r>
      <w:tr w14:paraId="1FA255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400" w:type="dxa"/>
            <w:gridSpan w:val="2"/>
            <w:tcBorders>
              <w:top w:val="single" w:color="auto" w:sz="6" w:space="0"/>
              <w:left w:val="double" w:color="auto" w:sz="4" w:space="0"/>
              <w:bottom w:val="double" w:color="auto" w:sz="4" w:space="0"/>
              <w:right w:val="single" w:color="auto" w:sz="6" w:space="0"/>
            </w:tcBorders>
            <w:vAlign w:val="center"/>
          </w:tcPr>
          <w:p w14:paraId="4CCB3EF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合计</w:t>
            </w:r>
          </w:p>
        </w:tc>
        <w:tc>
          <w:tcPr>
            <w:tcW w:w="3420" w:type="dxa"/>
            <w:tcBorders>
              <w:top w:val="single" w:color="auto" w:sz="6" w:space="0"/>
              <w:left w:val="single" w:color="auto" w:sz="6" w:space="0"/>
              <w:bottom w:val="double" w:color="auto" w:sz="4" w:space="0"/>
              <w:right w:val="double" w:color="auto" w:sz="4" w:space="0"/>
            </w:tcBorders>
            <w:vAlign w:val="center"/>
          </w:tcPr>
          <w:p w14:paraId="0EEB6C38">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bl>
    <w:p w14:paraId="31C8D8A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0BAD17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vAlign w:val="center"/>
          </w:tcPr>
          <w:p w14:paraId="23DDAB95">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2159" w:type="dxa"/>
            <w:tcBorders>
              <w:top w:val="double" w:color="auto" w:sz="4" w:space="0"/>
              <w:left w:val="single" w:color="auto" w:sz="4" w:space="0"/>
              <w:bottom w:val="single" w:color="auto" w:sz="6" w:space="0"/>
              <w:right w:val="single" w:color="auto" w:sz="4" w:space="0"/>
            </w:tcBorders>
            <w:vAlign w:val="center"/>
          </w:tcPr>
          <w:p w14:paraId="4282B47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评标因素（分值）</w:t>
            </w:r>
          </w:p>
        </w:tc>
        <w:tc>
          <w:tcPr>
            <w:tcW w:w="6249" w:type="dxa"/>
            <w:tcBorders>
              <w:top w:val="double" w:color="auto" w:sz="4" w:space="0"/>
              <w:left w:val="single" w:color="auto" w:sz="4" w:space="0"/>
              <w:bottom w:val="single" w:color="auto" w:sz="6" w:space="0"/>
              <w:right w:val="double" w:color="auto" w:sz="4" w:space="0"/>
            </w:tcBorders>
            <w:vAlign w:val="center"/>
          </w:tcPr>
          <w:p w14:paraId="26D7A4A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评标标准</w:t>
            </w:r>
          </w:p>
        </w:tc>
      </w:tr>
      <w:tr w14:paraId="7B4075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vAlign w:val="center"/>
          </w:tcPr>
          <w:p w14:paraId="47D6B74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159" w:type="dxa"/>
            <w:tcBorders>
              <w:top w:val="single" w:color="auto" w:sz="6" w:space="0"/>
              <w:left w:val="single" w:color="auto" w:sz="4" w:space="0"/>
              <w:bottom w:val="single" w:color="auto" w:sz="6" w:space="0"/>
              <w:right w:val="single" w:color="auto" w:sz="4" w:space="0"/>
            </w:tcBorders>
            <w:vAlign w:val="center"/>
          </w:tcPr>
          <w:p w14:paraId="19895A63">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价格评价项</w:t>
            </w:r>
          </w:p>
          <w:p w14:paraId="71CB5E84">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（F=100分）</w:t>
            </w:r>
          </w:p>
        </w:tc>
        <w:tc>
          <w:tcPr>
            <w:tcW w:w="6249" w:type="dxa"/>
            <w:tcBorders>
              <w:top w:val="single" w:color="auto" w:sz="6" w:space="0"/>
              <w:left w:val="single" w:color="auto" w:sz="4" w:space="0"/>
              <w:bottom w:val="single" w:color="auto" w:sz="6" w:space="0"/>
              <w:right w:val="double" w:color="auto" w:sz="4" w:space="0"/>
            </w:tcBorders>
            <w:vAlign w:val="center"/>
          </w:tcPr>
          <w:p w14:paraId="30894A07">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1、满足招标文件要求且投标报价中最低的投标报价为评标基准价其价格分为满分；设备价格权值占比为25%，专机专用耗材价格权值占比为25%，</w:t>
            </w:r>
            <w:bookmarkStart w:id="5" w:name="_GoBack"/>
            <w:bookmarkEnd w:id="5"/>
            <w:r>
              <w:rPr>
                <w:rFonts w:hint="eastAsia" w:ascii="仿宋" w:hAnsi="仿宋" w:eastAsia="仿宋" w:cs="仿宋"/>
                <w:sz w:val="24"/>
                <w:szCs w:val="24"/>
                <w:lang w:val="en-US" w:eastAsia="zh-CN"/>
              </w:rPr>
              <w:t>其中检验试剂占23%，质控品占2%（详见技术参数中关于专机耗材的条款）；报价总分＝设备报价得分＋专机专用耗材报价得分。投标人的价格分统一按照以下公式计算：</w:t>
            </w:r>
          </w:p>
          <w:p w14:paraId="659E3B70">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设备投标报价得分=（评标基准价/投标报价）×价格权值×100</w:t>
            </w:r>
          </w:p>
          <w:p w14:paraId="11E89F40">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专机专用耗材投标报价得分=（评标基准价/投标报价）×价格权值×100</w:t>
            </w:r>
          </w:p>
          <w:p w14:paraId="13CE90AE">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ECEB0AB">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4、最终投标价以人民币元为单位，计算保留至小数点后2位（百分比亦然），小数点后第3位采取4舍5入。</w:t>
            </w:r>
          </w:p>
        </w:tc>
      </w:tr>
    </w:tbl>
    <w:p w14:paraId="559AEF62">
      <w:pPr>
        <w:jc w:val="center"/>
        <w:rPr>
          <w:rFonts w:hint="eastAsia" w:ascii="仿宋" w:hAnsi="仿宋" w:eastAsia="仿宋" w:cs="仿宋"/>
          <w:sz w:val="24"/>
          <w:szCs w:val="24"/>
          <w:lang w:val="en-US" w:eastAsia="zh-CN"/>
        </w:rPr>
      </w:pPr>
    </w:p>
    <w:p w14:paraId="21D41EFA">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br w:type="page"/>
      </w:r>
    </w:p>
    <w:p w14:paraId="11D42F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02D67D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vAlign w:val="center"/>
          </w:tcPr>
          <w:p w14:paraId="34A8A553">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2160" w:type="dxa"/>
            <w:tcBorders>
              <w:top w:val="double" w:color="auto" w:sz="4" w:space="0"/>
              <w:left w:val="single" w:color="auto" w:sz="4" w:space="0"/>
              <w:bottom w:val="single" w:color="auto" w:sz="6" w:space="0"/>
              <w:right w:val="single" w:color="auto" w:sz="4" w:space="0"/>
            </w:tcBorders>
            <w:vAlign w:val="center"/>
          </w:tcPr>
          <w:p w14:paraId="6B4B6D9F">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评标因素（分值）</w:t>
            </w:r>
          </w:p>
        </w:tc>
        <w:tc>
          <w:tcPr>
            <w:tcW w:w="6277" w:type="dxa"/>
            <w:gridSpan w:val="3"/>
            <w:tcBorders>
              <w:top w:val="double" w:color="auto" w:sz="4" w:space="0"/>
              <w:left w:val="single" w:color="auto" w:sz="4" w:space="0"/>
              <w:bottom w:val="single" w:color="auto" w:sz="6" w:space="0"/>
              <w:right w:val="double" w:color="auto" w:sz="4" w:space="0"/>
            </w:tcBorders>
            <w:vAlign w:val="center"/>
          </w:tcPr>
          <w:p w14:paraId="2924E7E3">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评标标准</w:t>
            </w:r>
          </w:p>
        </w:tc>
      </w:tr>
      <w:tr w14:paraId="273C25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vAlign w:val="center"/>
          </w:tcPr>
          <w:p w14:paraId="02B3EED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160" w:type="dxa"/>
            <w:tcBorders>
              <w:top w:val="single" w:color="auto" w:sz="6" w:space="0"/>
              <w:left w:val="single" w:color="auto" w:sz="4" w:space="0"/>
              <w:bottom w:val="single" w:color="auto" w:sz="6" w:space="0"/>
              <w:right w:val="single" w:color="auto" w:sz="6" w:space="0"/>
            </w:tcBorders>
            <w:vAlign w:val="center"/>
          </w:tcPr>
          <w:p w14:paraId="4639615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技术评价项</w:t>
            </w:r>
          </w:p>
          <w:p w14:paraId="711B320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（F=100分）</w:t>
            </w:r>
          </w:p>
        </w:tc>
        <w:tc>
          <w:tcPr>
            <w:tcW w:w="773" w:type="dxa"/>
            <w:tcBorders>
              <w:top w:val="single" w:color="auto" w:sz="6" w:space="0"/>
              <w:left w:val="single" w:color="auto" w:sz="6" w:space="0"/>
              <w:bottom w:val="single" w:color="auto" w:sz="6" w:space="0"/>
              <w:right w:val="single" w:color="auto" w:sz="4" w:space="0"/>
            </w:tcBorders>
            <w:vAlign w:val="center"/>
          </w:tcPr>
          <w:p w14:paraId="409DDC1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技术参数</w:t>
            </w:r>
          </w:p>
        </w:tc>
        <w:tc>
          <w:tcPr>
            <w:tcW w:w="772" w:type="dxa"/>
            <w:tcBorders>
              <w:top w:val="single" w:color="auto" w:sz="6" w:space="0"/>
              <w:left w:val="single" w:color="auto" w:sz="4" w:space="0"/>
              <w:bottom w:val="single" w:color="auto" w:sz="6" w:space="0"/>
              <w:right w:val="single" w:color="auto" w:sz="6" w:space="0"/>
            </w:tcBorders>
            <w:vAlign w:val="center"/>
          </w:tcPr>
          <w:p w14:paraId="42FF8B2F">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w:t>
            </w:r>
          </w:p>
        </w:tc>
        <w:tc>
          <w:tcPr>
            <w:tcW w:w="4732" w:type="dxa"/>
            <w:tcBorders>
              <w:top w:val="single" w:color="auto" w:sz="6" w:space="0"/>
              <w:left w:val="single" w:color="auto" w:sz="6" w:space="0"/>
              <w:bottom w:val="single" w:color="auto" w:sz="6" w:space="0"/>
              <w:right w:val="double" w:color="auto" w:sz="4" w:space="0"/>
            </w:tcBorders>
            <w:vAlign w:val="center"/>
          </w:tcPr>
          <w:p w14:paraId="53790ECC">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投标文件无技术条款响应/偏离表的本项计0分；</w:t>
            </w:r>
          </w:p>
          <w:p w14:paraId="38A25B66">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1、技术参数满足招标文件要求无负偏离的本项计100分；</w:t>
            </w:r>
          </w:p>
          <w:p w14:paraId="00DAD475">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2、标注“▲”的参数为重要参数，每一项负偏离或缺漏扣10分；</w:t>
            </w:r>
          </w:p>
          <w:p w14:paraId="2E8F31DB">
            <w:pPr>
              <w:jc w:val="left"/>
              <w:rPr>
                <w:rFonts w:hint="default"/>
                <w:lang w:val="en-US" w:eastAsia="zh-CN"/>
              </w:rPr>
            </w:pPr>
            <w:r>
              <w:rPr>
                <w:rFonts w:hint="eastAsia" w:ascii="仿宋" w:hAnsi="仿宋" w:eastAsia="仿宋" w:cs="仿宋"/>
                <w:sz w:val="24"/>
                <w:szCs w:val="24"/>
                <w:lang w:val="en-US" w:eastAsia="zh-CN"/>
              </w:rPr>
              <w:t>3、一般技术参数（即非“★”非“▲”号参数）存在负偏离，每条负偏离扣6分。</w:t>
            </w:r>
          </w:p>
          <w:p w14:paraId="6B1205F2">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p>
        </w:tc>
      </w:tr>
    </w:tbl>
    <w:p w14:paraId="19E78A08">
      <w:pPr>
        <w:jc w:val="center"/>
        <w:rPr>
          <w:rFonts w:hint="eastAsia" w:ascii="仿宋" w:hAnsi="仿宋" w:eastAsia="仿宋" w:cs="仿宋"/>
          <w:sz w:val="24"/>
          <w:szCs w:val="24"/>
          <w:lang w:val="en-US" w:eastAsia="zh-CN"/>
        </w:rPr>
      </w:pPr>
    </w:p>
    <w:p w14:paraId="1F05C1D8">
      <w:pPr>
        <w:jc w:val="center"/>
        <w:rPr>
          <w:rFonts w:hint="eastAsia" w:ascii="仿宋" w:hAnsi="仿宋" w:eastAsia="仿宋" w:cs="仿宋"/>
          <w:sz w:val="24"/>
          <w:szCs w:val="24"/>
          <w:lang w:val="en-US" w:eastAsia="zh-CN"/>
        </w:rPr>
      </w:pPr>
    </w:p>
    <w:p w14:paraId="17131576">
      <w:pPr>
        <w:jc w:val="center"/>
        <w:rPr>
          <w:rFonts w:hint="eastAsia" w:ascii="仿宋" w:hAnsi="仿宋" w:eastAsia="仿宋" w:cs="仿宋"/>
          <w:sz w:val="24"/>
          <w:szCs w:val="24"/>
          <w:lang w:val="en-US" w:eastAsia="zh-CN"/>
        </w:rPr>
      </w:pPr>
    </w:p>
    <w:p w14:paraId="52E4688F">
      <w:pPr>
        <w:jc w:val="center"/>
        <w:rPr>
          <w:rFonts w:hint="eastAsia" w:ascii="仿宋" w:hAnsi="仿宋" w:eastAsia="仿宋" w:cs="仿宋"/>
          <w:sz w:val="24"/>
          <w:szCs w:val="24"/>
          <w:lang w:val="en-US" w:eastAsia="zh-CN"/>
        </w:rPr>
      </w:pPr>
    </w:p>
    <w:p w14:paraId="17925816">
      <w:pPr>
        <w:jc w:val="center"/>
        <w:rPr>
          <w:rFonts w:hint="eastAsia" w:ascii="仿宋" w:hAnsi="仿宋" w:eastAsia="仿宋" w:cs="仿宋"/>
          <w:sz w:val="24"/>
          <w:szCs w:val="24"/>
          <w:lang w:val="en-US" w:eastAsia="zh-CN"/>
        </w:rPr>
      </w:pPr>
    </w:p>
    <w:p w14:paraId="135EB2E1">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br w:type="page"/>
      </w:r>
    </w:p>
    <w:p w14:paraId="6DA2AB3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946"/>
        <w:gridCol w:w="1308"/>
        <w:gridCol w:w="709"/>
        <w:gridCol w:w="4519"/>
      </w:tblGrid>
      <w:tr w14:paraId="166BB3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vAlign w:val="center"/>
          </w:tcPr>
          <w:p w14:paraId="02A368D5">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1946" w:type="dxa"/>
            <w:tcBorders>
              <w:tl2br w:val="nil"/>
              <w:tr2bl w:val="nil"/>
            </w:tcBorders>
            <w:vAlign w:val="center"/>
          </w:tcPr>
          <w:p w14:paraId="494973F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评标因素（分值）</w:t>
            </w:r>
          </w:p>
        </w:tc>
        <w:tc>
          <w:tcPr>
            <w:tcW w:w="6536" w:type="dxa"/>
            <w:gridSpan w:val="3"/>
            <w:tcBorders>
              <w:tl2br w:val="nil"/>
              <w:tr2bl w:val="nil"/>
            </w:tcBorders>
            <w:vAlign w:val="center"/>
          </w:tcPr>
          <w:p w14:paraId="22B2543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评标标准</w:t>
            </w:r>
          </w:p>
        </w:tc>
      </w:tr>
      <w:tr w14:paraId="3B69DE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vAlign w:val="center"/>
          </w:tcPr>
          <w:p w14:paraId="105151A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946" w:type="dxa"/>
            <w:vMerge w:val="restart"/>
            <w:tcBorders>
              <w:tl2br w:val="nil"/>
              <w:tr2bl w:val="nil"/>
            </w:tcBorders>
            <w:vAlign w:val="center"/>
          </w:tcPr>
          <w:p w14:paraId="383D7B05">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商务评价项</w:t>
            </w:r>
          </w:p>
          <w:p w14:paraId="69F6C74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（F=100分）</w:t>
            </w:r>
          </w:p>
        </w:tc>
        <w:tc>
          <w:tcPr>
            <w:tcW w:w="1308" w:type="dxa"/>
            <w:tcBorders>
              <w:tl2br w:val="nil"/>
              <w:tr2bl w:val="nil"/>
            </w:tcBorders>
            <w:vAlign w:val="center"/>
          </w:tcPr>
          <w:p w14:paraId="0A17CE3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售后服务</w:t>
            </w:r>
          </w:p>
        </w:tc>
        <w:tc>
          <w:tcPr>
            <w:tcW w:w="709" w:type="dxa"/>
            <w:tcBorders>
              <w:tl2br w:val="nil"/>
              <w:tr2bl w:val="nil"/>
            </w:tcBorders>
            <w:vAlign w:val="center"/>
          </w:tcPr>
          <w:p w14:paraId="032D62D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vAlign w:val="center"/>
          </w:tcPr>
          <w:p w14:paraId="3ABD8E84">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6B275EC3">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4F72BA97">
            <w:pPr>
              <w:jc w:val="left"/>
              <w:rPr>
                <w:rFonts w:hint="eastAsia" w:ascii="仿宋" w:hAnsi="仿宋" w:eastAsia="仿宋" w:cs="仿宋"/>
                <w:sz w:val="24"/>
                <w:szCs w:val="24"/>
                <w:lang w:val="en-US" w:eastAsia="zh-CN"/>
              </w:rPr>
            </w:pPr>
            <w:r>
              <w:rPr>
                <w:rFonts w:hint="eastAsia" w:ascii="仿宋" w:hAnsi="仿宋" w:eastAsia="仿宋" w:cs="仿宋"/>
                <w:sz w:val="24"/>
                <w:szCs w:val="24"/>
              </w:rPr>
              <w:t>2、质保期在招标要求基础上再增加1年的加10分，增加2年以上的加20分，最高可加20分。</w:t>
            </w:r>
          </w:p>
        </w:tc>
      </w:tr>
      <w:tr w14:paraId="4D69F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vAlign w:val="center"/>
          </w:tcPr>
          <w:p w14:paraId="0FE629C0">
            <w:pPr>
              <w:jc w:val="center"/>
              <w:rPr>
                <w:rFonts w:hint="eastAsia" w:ascii="仿宋" w:hAnsi="仿宋" w:eastAsia="仿宋" w:cs="仿宋"/>
                <w:sz w:val="24"/>
                <w:szCs w:val="24"/>
                <w:lang w:val="en-US" w:eastAsia="zh-CN"/>
              </w:rPr>
            </w:pPr>
          </w:p>
        </w:tc>
        <w:tc>
          <w:tcPr>
            <w:tcW w:w="1946" w:type="dxa"/>
            <w:vMerge w:val="continue"/>
            <w:tcBorders>
              <w:tl2br w:val="nil"/>
              <w:tr2bl w:val="nil"/>
            </w:tcBorders>
            <w:vAlign w:val="center"/>
          </w:tcPr>
          <w:p w14:paraId="30EDC59A">
            <w:pPr>
              <w:jc w:val="center"/>
              <w:rPr>
                <w:rFonts w:hint="eastAsia" w:ascii="仿宋" w:hAnsi="仿宋" w:eastAsia="仿宋" w:cs="仿宋"/>
                <w:sz w:val="24"/>
                <w:szCs w:val="24"/>
                <w:lang w:val="en-US" w:eastAsia="zh-CN"/>
              </w:rPr>
            </w:pPr>
          </w:p>
        </w:tc>
        <w:tc>
          <w:tcPr>
            <w:tcW w:w="1308" w:type="dxa"/>
            <w:tcBorders>
              <w:tl2br w:val="nil"/>
              <w:tr2bl w:val="nil"/>
            </w:tcBorders>
            <w:vAlign w:val="center"/>
          </w:tcPr>
          <w:p w14:paraId="7AB7E15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培训方案</w:t>
            </w:r>
          </w:p>
        </w:tc>
        <w:tc>
          <w:tcPr>
            <w:tcW w:w="709" w:type="dxa"/>
            <w:tcBorders>
              <w:tl2br w:val="nil"/>
              <w:tr2bl w:val="nil"/>
            </w:tcBorders>
            <w:vAlign w:val="center"/>
          </w:tcPr>
          <w:p w14:paraId="062AA3A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vAlign w:val="center"/>
          </w:tcPr>
          <w:p w14:paraId="77DB104A">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78E4F7D0">
            <w:pPr>
              <w:jc w:val="left"/>
              <w:rPr>
                <w:rFonts w:hint="eastAsia" w:ascii="仿宋" w:hAnsi="仿宋" w:eastAsia="仿宋" w:cs="仿宋"/>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30F8DC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vAlign w:val="center"/>
          </w:tcPr>
          <w:p w14:paraId="56413E89">
            <w:pPr>
              <w:jc w:val="center"/>
              <w:rPr>
                <w:rFonts w:hint="eastAsia" w:ascii="仿宋" w:hAnsi="仿宋" w:eastAsia="仿宋" w:cs="仿宋"/>
                <w:sz w:val="24"/>
                <w:szCs w:val="24"/>
                <w:lang w:val="en-US" w:eastAsia="zh-CN"/>
              </w:rPr>
            </w:pPr>
          </w:p>
        </w:tc>
        <w:tc>
          <w:tcPr>
            <w:tcW w:w="1946" w:type="dxa"/>
            <w:vMerge w:val="continue"/>
            <w:tcBorders>
              <w:tl2br w:val="nil"/>
              <w:tr2bl w:val="nil"/>
            </w:tcBorders>
            <w:vAlign w:val="center"/>
          </w:tcPr>
          <w:p w14:paraId="6E67B8CD">
            <w:pPr>
              <w:jc w:val="center"/>
              <w:rPr>
                <w:rFonts w:hint="eastAsia" w:ascii="仿宋" w:hAnsi="仿宋" w:eastAsia="仿宋" w:cs="仿宋"/>
                <w:sz w:val="24"/>
                <w:szCs w:val="24"/>
                <w:lang w:val="en-US" w:eastAsia="zh-CN"/>
              </w:rPr>
            </w:pPr>
          </w:p>
        </w:tc>
        <w:tc>
          <w:tcPr>
            <w:tcW w:w="1308" w:type="dxa"/>
            <w:tcBorders>
              <w:tl2br w:val="nil"/>
              <w:tr2bl w:val="nil"/>
            </w:tcBorders>
            <w:vAlign w:val="center"/>
          </w:tcPr>
          <w:p w14:paraId="2A11A37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类似业绩</w:t>
            </w:r>
          </w:p>
        </w:tc>
        <w:tc>
          <w:tcPr>
            <w:tcW w:w="709" w:type="dxa"/>
            <w:tcBorders>
              <w:tl2br w:val="nil"/>
              <w:tr2bl w:val="nil"/>
            </w:tcBorders>
            <w:vAlign w:val="center"/>
          </w:tcPr>
          <w:p w14:paraId="1EE34E96">
            <w:pPr>
              <w:jc w:val="center"/>
              <w:rPr>
                <w:rFonts w:hint="eastAsia" w:ascii="仿宋" w:hAnsi="仿宋" w:eastAsia="仿宋" w:cs="仿宋"/>
                <w:sz w:val="24"/>
                <w:szCs w:val="24"/>
                <w:lang w:val="en-US" w:eastAsia="zh-CN"/>
              </w:rPr>
            </w:pPr>
            <w:r>
              <w:rPr>
                <w:rFonts w:hint="eastAsia" w:ascii="仿宋" w:hAnsi="仿宋" w:eastAsia="仿宋" w:cs="仿宋"/>
                <w:sz w:val="24"/>
                <w:szCs w:val="24"/>
              </w:rPr>
              <w:t>30</w:t>
            </w:r>
          </w:p>
        </w:tc>
        <w:tc>
          <w:tcPr>
            <w:tcW w:w="4519" w:type="dxa"/>
            <w:tcBorders>
              <w:tl2br w:val="nil"/>
              <w:tr2bl w:val="nil"/>
            </w:tcBorders>
            <w:vAlign w:val="center"/>
          </w:tcPr>
          <w:p w14:paraId="2A341ED2">
            <w:pPr>
              <w:jc w:val="left"/>
              <w:rPr>
                <w:rFonts w:hint="eastAsia" w:ascii="仿宋" w:hAnsi="仿宋" w:eastAsia="仿宋" w:cs="仿宋"/>
                <w:sz w:val="24"/>
                <w:szCs w:val="24"/>
                <w:lang w:val="en-US" w:eastAsia="zh-CN"/>
              </w:rPr>
            </w:pPr>
            <w:r>
              <w:rPr>
                <w:rFonts w:hint="eastAsia" w:ascii="仿宋" w:hAnsi="仿宋" w:eastAsia="仿宋" w:cs="仿宋"/>
                <w:sz w:val="24"/>
                <w:szCs w:val="24"/>
              </w:rPr>
              <w:t>提供近两年以来同型号设备</w:t>
            </w:r>
            <w:r>
              <w:rPr>
                <w:rFonts w:hint="eastAsia" w:ascii="仿宋" w:hAnsi="仿宋" w:eastAsia="仿宋" w:cs="仿宋"/>
                <w:sz w:val="24"/>
                <w:szCs w:val="24"/>
                <w:lang w:eastAsia="zh-CN"/>
              </w:rPr>
              <w:t>在湖南省三甲综合医院的装机</w:t>
            </w:r>
            <w:r>
              <w:rPr>
                <w:rFonts w:hint="eastAsia" w:ascii="仿宋" w:hAnsi="仿宋" w:eastAsia="仿宋" w:cs="仿宋"/>
                <w:sz w:val="24"/>
                <w:szCs w:val="24"/>
              </w:rPr>
              <w:t>证明材料（证明材料可以是中标通知书或中标公示截图或合同相关页面，且证明材料要体现中标设备的型号），每提供一份计</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251C4DA2">
      <w:pPr>
        <w:jc w:val="both"/>
        <w:rPr>
          <w:rFonts w:hint="eastAsia" w:ascii="仿宋" w:hAnsi="仿宋" w:eastAsia="仿宋" w:cs="仿宋"/>
          <w:sz w:val="24"/>
          <w:szCs w:val="24"/>
        </w:rPr>
      </w:pPr>
    </w:p>
    <w:p w14:paraId="523BA3D2">
      <w:pPr>
        <w:jc w:val="center"/>
        <w:rPr>
          <w:rFonts w:hint="eastAsia" w:ascii="仿宋" w:hAnsi="仿宋" w:eastAsia="仿宋" w:cs="仿宋"/>
          <w:sz w:val="24"/>
          <w:szCs w:val="24"/>
        </w:rPr>
      </w:pPr>
    </w:p>
    <w:p w14:paraId="44449688">
      <w:pPr>
        <w:jc w:val="center"/>
        <w:rPr>
          <w:rFonts w:hint="eastAsia" w:ascii="仿宋" w:hAnsi="仿宋" w:eastAsia="仿宋" w:cs="仿宋"/>
          <w:sz w:val="24"/>
          <w:szCs w:val="24"/>
        </w:rPr>
      </w:pPr>
      <w:r>
        <w:rPr>
          <w:rFonts w:hint="eastAsia" w:ascii="仿宋" w:hAnsi="仿宋" w:eastAsia="仿宋" w:cs="仿宋"/>
          <w:sz w:val="24"/>
          <w:szCs w:val="24"/>
        </w:rPr>
        <w:br w:type="page"/>
      </w:r>
    </w:p>
    <w:p w14:paraId="294A5165">
      <w:pPr>
        <w:pStyle w:val="4"/>
        <w:numPr>
          <w:ilvl w:val="0"/>
          <w:numId w:val="3"/>
        </w:numPr>
        <w:spacing w:line="240" w:lineRule="auto"/>
        <w:ind w:firstLine="2409" w:firstLineChars="80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14:paraId="27169976">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6CBF91">
      <w:pPr>
        <w:rPr>
          <w:rFonts w:hint="eastAsia" w:ascii="宋体" w:hAnsi="宋体" w:cs="宋体"/>
          <w:color w:val="auto"/>
        </w:rPr>
      </w:pPr>
    </w:p>
    <w:bookmarkEnd w:id="2"/>
    <w:p w14:paraId="08D4C590">
      <w:pPr>
        <w:rPr>
          <w:rFonts w:hint="eastAsia"/>
          <w:color w:val="auto"/>
        </w:rPr>
      </w:pPr>
    </w:p>
    <w:p w14:paraId="4D0960B7">
      <w:pPr>
        <w:jc w:val="center"/>
        <w:rPr>
          <w:b/>
          <w:color w:val="auto"/>
          <w:sz w:val="24"/>
        </w:rPr>
      </w:pPr>
      <w:r>
        <w:rPr>
          <w:b/>
          <w:color w:val="auto"/>
          <w:sz w:val="28"/>
          <w:szCs w:val="28"/>
        </w:rPr>
        <w:t>第一部分、开标一览表</w:t>
      </w:r>
    </w:p>
    <w:p w14:paraId="62657D8A">
      <w:pPr>
        <w:jc w:val="center"/>
        <w:rPr>
          <w:b/>
          <w:color w:val="auto"/>
          <w:sz w:val="24"/>
        </w:rPr>
      </w:pPr>
    </w:p>
    <w:p w14:paraId="3A11B7F8">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436237B">
      <w:pPr>
        <w:pStyle w:val="18"/>
        <w:rPr>
          <w:color w:val="auto"/>
        </w:rPr>
      </w:pPr>
    </w:p>
    <w:p w14:paraId="268DC177">
      <w:pPr>
        <w:adjustRightInd w:val="0"/>
        <w:snapToGrid w:val="0"/>
        <w:spacing w:line="360" w:lineRule="auto"/>
        <w:jc w:val="center"/>
        <w:rPr>
          <w:rFonts w:hint="eastAsia" w:ascii="宋体" w:hAnsi="宋体" w:cs="宋体"/>
          <w:b/>
          <w:color w:val="auto"/>
          <w:sz w:val="28"/>
          <w:szCs w:val="28"/>
        </w:rPr>
      </w:pPr>
    </w:p>
    <w:p w14:paraId="4A8DC8E8">
      <w:pPr>
        <w:adjustRightInd w:val="0"/>
        <w:snapToGrid w:val="0"/>
        <w:spacing w:line="360" w:lineRule="auto"/>
        <w:jc w:val="center"/>
        <w:rPr>
          <w:rFonts w:hint="eastAsia" w:ascii="宋体" w:hAnsi="宋体" w:cs="宋体"/>
          <w:b/>
          <w:color w:val="auto"/>
          <w:sz w:val="28"/>
          <w:szCs w:val="28"/>
        </w:rPr>
      </w:pPr>
    </w:p>
    <w:p w14:paraId="07F41EB6">
      <w:pPr>
        <w:adjustRightInd w:val="0"/>
        <w:snapToGrid w:val="0"/>
        <w:spacing w:line="360" w:lineRule="auto"/>
        <w:jc w:val="center"/>
        <w:rPr>
          <w:rFonts w:hint="eastAsia" w:ascii="宋体" w:hAnsi="宋体" w:cs="宋体"/>
          <w:b/>
          <w:color w:val="auto"/>
          <w:sz w:val="28"/>
          <w:szCs w:val="28"/>
        </w:rPr>
      </w:pPr>
    </w:p>
    <w:p w14:paraId="5F3BE2EA">
      <w:pPr>
        <w:adjustRightInd w:val="0"/>
        <w:snapToGrid w:val="0"/>
        <w:spacing w:line="360" w:lineRule="auto"/>
        <w:jc w:val="center"/>
        <w:rPr>
          <w:rFonts w:hint="eastAsia" w:ascii="宋体" w:hAnsi="宋体" w:cs="宋体"/>
          <w:b/>
          <w:color w:val="auto"/>
          <w:sz w:val="28"/>
          <w:szCs w:val="28"/>
        </w:rPr>
      </w:pPr>
    </w:p>
    <w:p w14:paraId="4267E2D0">
      <w:pPr>
        <w:adjustRightInd w:val="0"/>
        <w:snapToGrid w:val="0"/>
        <w:spacing w:line="360" w:lineRule="auto"/>
        <w:jc w:val="center"/>
        <w:rPr>
          <w:rFonts w:hint="eastAsia" w:ascii="宋体" w:hAnsi="宋体" w:cs="宋体"/>
          <w:b/>
          <w:color w:val="auto"/>
          <w:sz w:val="28"/>
          <w:szCs w:val="28"/>
        </w:rPr>
      </w:pPr>
    </w:p>
    <w:p w14:paraId="5F1C5418">
      <w:pPr>
        <w:adjustRightInd w:val="0"/>
        <w:snapToGrid w:val="0"/>
        <w:spacing w:line="360" w:lineRule="auto"/>
        <w:jc w:val="center"/>
        <w:rPr>
          <w:rFonts w:hint="eastAsia" w:ascii="宋体" w:hAnsi="宋体" w:cs="宋体"/>
          <w:b/>
          <w:color w:val="auto"/>
          <w:sz w:val="28"/>
          <w:szCs w:val="28"/>
        </w:rPr>
      </w:pPr>
    </w:p>
    <w:p w14:paraId="040D6C03">
      <w:pPr>
        <w:adjustRightInd w:val="0"/>
        <w:snapToGrid w:val="0"/>
        <w:spacing w:line="360" w:lineRule="auto"/>
        <w:jc w:val="center"/>
        <w:rPr>
          <w:rFonts w:hint="eastAsia" w:ascii="宋体" w:hAnsi="宋体" w:cs="宋体"/>
          <w:b/>
          <w:color w:val="auto"/>
          <w:sz w:val="28"/>
          <w:szCs w:val="28"/>
        </w:rPr>
      </w:pPr>
    </w:p>
    <w:p w14:paraId="13B7AA99">
      <w:pPr>
        <w:adjustRightInd w:val="0"/>
        <w:snapToGrid w:val="0"/>
        <w:spacing w:line="360" w:lineRule="auto"/>
        <w:jc w:val="center"/>
        <w:rPr>
          <w:rFonts w:hint="eastAsia" w:ascii="宋体" w:hAnsi="宋体" w:cs="宋体"/>
          <w:b/>
          <w:color w:val="auto"/>
          <w:sz w:val="28"/>
          <w:szCs w:val="28"/>
        </w:rPr>
      </w:pPr>
    </w:p>
    <w:p w14:paraId="4EABC2AA">
      <w:pPr>
        <w:adjustRightInd w:val="0"/>
        <w:snapToGrid w:val="0"/>
        <w:spacing w:line="360" w:lineRule="auto"/>
        <w:jc w:val="center"/>
        <w:rPr>
          <w:rFonts w:hint="eastAsia" w:ascii="宋体" w:hAnsi="宋体" w:cs="宋体"/>
          <w:b/>
          <w:color w:val="auto"/>
          <w:sz w:val="28"/>
          <w:szCs w:val="28"/>
        </w:rPr>
      </w:pPr>
    </w:p>
    <w:p w14:paraId="50BA3C00">
      <w:pPr>
        <w:adjustRightInd w:val="0"/>
        <w:snapToGrid w:val="0"/>
        <w:spacing w:line="360" w:lineRule="auto"/>
        <w:jc w:val="center"/>
        <w:rPr>
          <w:rFonts w:hint="eastAsia" w:ascii="宋体" w:hAnsi="宋体" w:cs="宋体"/>
          <w:b/>
          <w:color w:val="auto"/>
          <w:sz w:val="28"/>
          <w:szCs w:val="28"/>
        </w:rPr>
      </w:pPr>
    </w:p>
    <w:p w14:paraId="3F96BEA8">
      <w:pPr>
        <w:adjustRightInd w:val="0"/>
        <w:snapToGrid w:val="0"/>
        <w:spacing w:line="360" w:lineRule="auto"/>
        <w:jc w:val="center"/>
        <w:rPr>
          <w:rFonts w:hint="eastAsia" w:ascii="宋体" w:hAnsi="宋体" w:cs="宋体"/>
          <w:b/>
          <w:color w:val="auto"/>
          <w:sz w:val="28"/>
          <w:szCs w:val="28"/>
        </w:rPr>
      </w:pPr>
    </w:p>
    <w:p w14:paraId="20AAEBC3">
      <w:pPr>
        <w:adjustRightInd w:val="0"/>
        <w:snapToGrid w:val="0"/>
        <w:spacing w:line="360" w:lineRule="auto"/>
        <w:jc w:val="center"/>
        <w:rPr>
          <w:rFonts w:hint="eastAsia" w:ascii="宋体" w:hAnsi="宋体" w:cs="宋体"/>
          <w:b/>
          <w:color w:val="auto"/>
          <w:sz w:val="28"/>
          <w:szCs w:val="28"/>
        </w:rPr>
      </w:pPr>
    </w:p>
    <w:p w14:paraId="4F74D181">
      <w:pPr>
        <w:adjustRightInd w:val="0"/>
        <w:snapToGrid w:val="0"/>
        <w:spacing w:line="360" w:lineRule="auto"/>
        <w:jc w:val="center"/>
        <w:rPr>
          <w:rFonts w:hint="eastAsia" w:ascii="宋体" w:hAnsi="宋体" w:cs="宋体"/>
          <w:b/>
          <w:color w:val="auto"/>
          <w:sz w:val="28"/>
          <w:szCs w:val="28"/>
        </w:rPr>
      </w:pPr>
    </w:p>
    <w:p w14:paraId="228EC2E2">
      <w:pPr>
        <w:adjustRightInd w:val="0"/>
        <w:snapToGrid w:val="0"/>
        <w:spacing w:line="360" w:lineRule="auto"/>
        <w:jc w:val="center"/>
        <w:rPr>
          <w:rFonts w:hint="eastAsia" w:ascii="宋体" w:hAnsi="宋体" w:cs="宋体"/>
          <w:b/>
          <w:color w:val="auto"/>
          <w:sz w:val="28"/>
          <w:szCs w:val="28"/>
        </w:rPr>
      </w:pPr>
    </w:p>
    <w:p w14:paraId="456569A2">
      <w:pPr>
        <w:adjustRightInd w:val="0"/>
        <w:snapToGrid w:val="0"/>
        <w:spacing w:line="360" w:lineRule="auto"/>
        <w:jc w:val="center"/>
        <w:rPr>
          <w:rFonts w:hint="eastAsia" w:ascii="宋体" w:hAnsi="宋体" w:cs="宋体"/>
          <w:b/>
          <w:color w:val="auto"/>
          <w:sz w:val="28"/>
          <w:szCs w:val="28"/>
        </w:rPr>
      </w:pPr>
    </w:p>
    <w:p w14:paraId="2E749D59">
      <w:pPr>
        <w:adjustRightInd w:val="0"/>
        <w:snapToGrid w:val="0"/>
        <w:spacing w:line="360" w:lineRule="auto"/>
        <w:jc w:val="center"/>
        <w:rPr>
          <w:rFonts w:hint="eastAsia" w:ascii="宋体" w:hAnsi="宋体" w:cs="宋体"/>
          <w:b/>
          <w:color w:val="auto"/>
          <w:sz w:val="28"/>
          <w:szCs w:val="28"/>
        </w:rPr>
      </w:pPr>
    </w:p>
    <w:p w14:paraId="0F548034">
      <w:pPr>
        <w:adjustRightInd w:val="0"/>
        <w:snapToGrid w:val="0"/>
        <w:spacing w:line="360" w:lineRule="auto"/>
        <w:jc w:val="center"/>
        <w:rPr>
          <w:rFonts w:hint="eastAsia" w:ascii="宋体" w:hAnsi="宋体" w:cs="宋体"/>
          <w:b/>
          <w:color w:val="auto"/>
          <w:sz w:val="28"/>
          <w:szCs w:val="28"/>
        </w:rPr>
      </w:pPr>
    </w:p>
    <w:p w14:paraId="66416A03">
      <w:pPr>
        <w:adjustRightInd w:val="0"/>
        <w:snapToGrid w:val="0"/>
        <w:spacing w:line="360" w:lineRule="auto"/>
        <w:jc w:val="center"/>
        <w:rPr>
          <w:rFonts w:hint="eastAsia" w:ascii="宋体" w:hAnsi="宋体" w:cs="宋体"/>
          <w:b/>
          <w:color w:val="auto"/>
          <w:sz w:val="28"/>
          <w:szCs w:val="28"/>
        </w:rPr>
      </w:pPr>
    </w:p>
    <w:p w14:paraId="16E73805">
      <w:pPr>
        <w:adjustRightInd w:val="0"/>
        <w:snapToGrid w:val="0"/>
        <w:spacing w:line="360" w:lineRule="auto"/>
        <w:jc w:val="center"/>
        <w:rPr>
          <w:rFonts w:hint="eastAsia" w:ascii="宋体" w:hAnsi="宋体" w:cs="宋体"/>
          <w:b/>
          <w:color w:val="auto"/>
          <w:sz w:val="28"/>
          <w:szCs w:val="28"/>
        </w:rPr>
      </w:pPr>
    </w:p>
    <w:p w14:paraId="014F0BBF">
      <w:pPr>
        <w:adjustRightInd w:val="0"/>
        <w:snapToGrid w:val="0"/>
        <w:spacing w:line="360" w:lineRule="auto"/>
        <w:jc w:val="center"/>
        <w:rPr>
          <w:rFonts w:hint="eastAsia" w:ascii="宋体" w:hAnsi="宋体" w:cs="宋体"/>
          <w:b/>
          <w:color w:val="auto"/>
          <w:sz w:val="28"/>
          <w:szCs w:val="28"/>
        </w:rPr>
      </w:pPr>
    </w:p>
    <w:p w14:paraId="14CE07D0">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C9A566">
      <w:pPr>
        <w:pStyle w:val="17"/>
        <w:rPr>
          <w:rFonts w:hint="eastAsia"/>
          <w:lang w:eastAsia="zh-CN"/>
        </w:rPr>
      </w:pPr>
    </w:p>
    <w:p w14:paraId="7F35D233">
      <w:pPr>
        <w:adjustRightInd w:val="0"/>
        <w:snapToGrid w:val="0"/>
        <w:spacing w:line="360" w:lineRule="auto"/>
        <w:jc w:val="center"/>
        <w:rPr>
          <w:rFonts w:hint="eastAsia" w:ascii="宋体" w:hAnsi="宋体" w:cs="宋体"/>
          <w:b/>
          <w:color w:val="auto"/>
          <w:sz w:val="24"/>
          <w:szCs w:val="20"/>
        </w:rPr>
      </w:pPr>
    </w:p>
    <w:p w14:paraId="3FAEF57A">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0215D7B">
      <w:pPr>
        <w:adjustRightInd w:val="0"/>
        <w:snapToGrid w:val="0"/>
        <w:spacing w:line="360" w:lineRule="auto"/>
        <w:rPr>
          <w:rFonts w:hint="eastAsia" w:ascii="宋体" w:hAnsi="宋体" w:cs="宋体"/>
          <w:b/>
          <w:color w:val="auto"/>
          <w:sz w:val="28"/>
          <w:szCs w:val="28"/>
        </w:rPr>
      </w:pPr>
    </w:p>
    <w:p w14:paraId="7A47BF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01AF209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6649A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65724CC1">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02D956C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38C9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6BE864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22ABCFC3">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F56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2C811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24B408DE">
      <w:pPr>
        <w:adjustRightInd w:val="0"/>
        <w:snapToGrid w:val="0"/>
        <w:spacing w:line="360" w:lineRule="auto"/>
        <w:rPr>
          <w:rFonts w:hint="eastAsia" w:ascii="宋体" w:hAnsi="宋体" w:cs="宋体"/>
          <w:color w:val="auto"/>
          <w:sz w:val="24"/>
        </w:rPr>
      </w:pPr>
    </w:p>
    <w:p w14:paraId="490FDD2E">
      <w:pPr>
        <w:adjustRightInd w:val="0"/>
        <w:snapToGrid w:val="0"/>
        <w:spacing w:line="360" w:lineRule="auto"/>
        <w:rPr>
          <w:rFonts w:hint="eastAsia" w:ascii="宋体" w:hAnsi="宋体" w:cs="宋体"/>
          <w:color w:val="auto"/>
          <w:sz w:val="24"/>
        </w:rPr>
      </w:pPr>
    </w:p>
    <w:p w14:paraId="3DC8584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3253D32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0083CE6">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E02DCF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1C322F7">
      <w:pPr>
        <w:adjustRightInd w:val="0"/>
        <w:snapToGrid w:val="0"/>
        <w:spacing w:line="360" w:lineRule="auto"/>
        <w:rPr>
          <w:rFonts w:hint="eastAsia" w:ascii="宋体" w:hAnsi="宋体" w:cs="宋体"/>
          <w:b/>
          <w:color w:val="auto"/>
          <w:sz w:val="28"/>
          <w:szCs w:val="28"/>
        </w:rPr>
      </w:pPr>
    </w:p>
    <w:p w14:paraId="5896EFCA">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4D2674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503DC49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49024E8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9D29FE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22FAA1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C37B98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79ED8E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785C00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753EFB40">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659F7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6D741EA5">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F3BE63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1A6943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314E3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29E81FF3">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9F12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83ECCB6">
      <w:pPr>
        <w:adjustRightInd w:val="0"/>
        <w:snapToGrid w:val="0"/>
        <w:spacing w:line="360" w:lineRule="auto"/>
        <w:jc w:val="center"/>
        <w:rPr>
          <w:rFonts w:hint="eastAsia" w:ascii="宋体" w:hAnsi="宋体" w:cs="宋体"/>
          <w:b/>
          <w:color w:val="auto"/>
          <w:sz w:val="24"/>
          <w:szCs w:val="20"/>
        </w:rPr>
      </w:pPr>
    </w:p>
    <w:p w14:paraId="3652377E">
      <w:pPr>
        <w:adjustRightInd w:val="0"/>
        <w:snapToGrid w:val="0"/>
        <w:spacing w:line="360" w:lineRule="auto"/>
        <w:rPr>
          <w:rFonts w:hint="eastAsia" w:ascii="宋体" w:hAnsi="宋体" w:cs="宋体"/>
          <w:b/>
          <w:color w:val="auto"/>
          <w:sz w:val="24"/>
          <w:szCs w:val="20"/>
        </w:rPr>
      </w:pPr>
    </w:p>
    <w:p w14:paraId="3F7A786C">
      <w:pPr>
        <w:adjustRightInd w:val="0"/>
        <w:snapToGrid w:val="0"/>
        <w:spacing w:line="360" w:lineRule="auto"/>
        <w:rPr>
          <w:rFonts w:hint="eastAsia" w:ascii="宋体" w:hAnsi="宋体" w:cs="宋体"/>
          <w:b/>
          <w:color w:val="auto"/>
          <w:sz w:val="24"/>
          <w:szCs w:val="20"/>
        </w:rPr>
      </w:pPr>
    </w:p>
    <w:p w14:paraId="7E770005">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3679E11">
      <w:pPr>
        <w:adjustRightInd w:val="0"/>
        <w:snapToGrid w:val="0"/>
        <w:spacing w:line="360" w:lineRule="auto"/>
        <w:jc w:val="center"/>
        <w:rPr>
          <w:rFonts w:hint="eastAsia" w:ascii="宋体" w:hAnsi="宋体" w:cs="宋体"/>
          <w:b/>
          <w:color w:val="auto"/>
          <w:sz w:val="24"/>
          <w:szCs w:val="20"/>
        </w:rPr>
      </w:pPr>
    </w:p>
    <w:p w14:paraId="4EDCF384">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F18043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403B4C0">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A6F256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B38984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25B75C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57835BB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5BF593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2CA0506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66990D2">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EB79461">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69480F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3B0AF416">
      <w:pPr>
        <w:jc w:val="left"/>
        <w:rPr>
          <w:rFonts w:hint="eastAsia" w:ascii="宋体" w:hAnsi="宋体" w:eastAsia="宋体" w:cs="Times New Roman"/>
          <w:b w:val="0"/>
          <w:bCs w:val="0"/>
          <w:color w:val="auto"/>
          <w:kern w:val="2"/>
          <w:sz w:val="24"/>
          <w:szCs w:val="24"/>
          <w:lang w:val="en-US" w:eastAsia="zh-CN" w:bidi="ar-SA"/>
        </w:rPr>
      </w:pPr>
    </w:p>
    <w:p w14:paraId="21D11BF0">
      <w:pPr>
        <w:jc w:val="left"/>
        <w:rPr>
          <w:rFonts w:hint="eastAsia" w:ascii="宋体" w:hAnsi="宋体" w:eastAsia="宋体" w:cs="Times New Roman"/>
          <w:b w:val="0"/>
          <w:bCs w:val="0"/>
          <w:color w:val="auto"/>
          <w:kern w:val="2"/>
          <w:sz w:val="24"/>
          <w:szCs w:val="24"/>
          <w:lang w:val="en-US" w:eastAsia="zh-CN" w:bidi="ar-SA"/>
        </w:rPr>
      </w:pPr>
    </w:p>
    <w:p w14:paraId="2C406AA0">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69E894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Borders>
            <w:top w:val="none" w:sz="0" w:space="0"/>
            <w:left w:val="none" w:sz="0" w:space="0"/>
            <w:bottom w:val="none" w:sz="0" w:space="0"/>
            <w:right w:val="none" w:sz="0" w:space="0"/>
          </w:pgBorders>
          <w:pgNumType w:fmt="decimal" w:start="1"/>
          <w:cols w:space="720" w:num="1"/>
          <w:docGrid w:linePitch="312" w:charSpace="0"/>
        </w:sectPr>
      </w:pPr>
    </w:p>
    <w:p w14:paraId="3A59E3E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AA91257">
      <w:pPr>
        <w:pStyle w:val="17"/>
        <w:rPr>
          <w:rFonts w:hint="eastAsia"/>
          <w:lang w:eastAsia="zh-CN"/>
        </w:rPr>
      </w:pPr>
    </w:p>
    <w:p w14:paraId="68DA9DD9">
      <w:pPr>
        <w:spacing w:before="120" w:beforeLines="50" w:after="120" w:afterLines="50" w:line="276" w:lineRule="auto"/>
        <w:jc w:val="center"/>
        <w:rPr>
          <w:b/>
          <w:color w:val="auto"/>
          <w:sz w:val="24"/>
        </w:rPr>
      </w:pPr>
      <w:r>
        <w:rPr>
          <w:b/>
          <w:color w:val="auto"/>
          <w:sz w:val="24"/>
        </w:rPr>
        <w:t>采购需求响应/偏离表</w:t>
      </w:r>
    </w:p>
    <w:p w14:paraId="5377DABE">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7612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B332F33">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872AB0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0BE749A3">
            <w:pPr>
              <w:adjustRightInd w:val="0"/>
              <w:snapToGrid w:val="0"/>
              <w:spacing w:before="50" w:line="360" w:lineRule="auto"/>
              <w:jc w:val="center"/>
              <w:rPr>
                <w:color w:val="auto"/>
              </w:rPr>
            </w:pPr>
            <w:r>
              <w:rPr>
                <w:color w:val="auto"/>
              </w:rPr>
              <w:t>招标文件要求</w:t>
            </w:r>
          </w:p>
        </w:tc>
        <w:tc>
          <w:tcPr>
            <w:tcW w:w="962" w:type="pct"/>
            <w:noWrap w:val="0"/>
            <w:vAlign w:val="top"/>
          </w:tcPr>
          <w:p w14:paraId="65A14241">
            <w:pPr>
              <w:adjustRightInd w:val="0"/>
              <w:snapToGrid w:val="0"/>
              <w:spacing w:before="50" w:line="360" w:lineRule="auto"/>
              <w:jc w:val="center"/>
              <w:rPr>
                <w:color w:val="auto"/>
              </w:rPr>
            </w:pPr>
            <w:r>
              <w:rPr>
                <w:color w:val="auto"/>
              </w:rPr>
              <w:t>投标文件应答</w:t>
            </w:r>
          </w:p>
        </w:tc>
        <w:tc>
          <w:tcPr>
            <w:tcW w:w="905" w:type="pct"/>
            <w:noWrap w:val="0"/>
            <w:vAlign w:val="center"/>
          </w:tcPr>
          <w:p w14:paraId="35F415C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358EDB9E">
            <w:pPr>
              <w:adjustRightInd w:val="0"/>
              <w:snapToGrid w:val="0"/>
              <w:spacing w:before="50" w:line="360" w:lineRule="auto"/>
              <w:ind w:left="-88" w:leftChars="-42"/>
              <w:jc w:val="center"/>
              <w:rPr>
                <w:color w:val="auto"/>
                <w:szCs w:val="21"/>
              </w:rPr>
            </w:pPr>
            <w:r>
              <w:rPr>
                <w:color w:val="auto"/>
                <w:szCs w:val="21"/>
              </w:rPr>
              <w:t>偏离说明</w:t>
            </w:r>
          </w:p>
        </w:tc>
      </w:tr>
      <w:tr w14:paraId="58D454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9D3297">
            <w:pPr>
              <w:adjustRightInd w:val="0"/>
              <w:snapToGrid w:val="0"/>
              <w:spacing w:before="50" w:line="360" w:lineRule="auto"/>
              <w:ind w:left="-88" w:leftChars="-42"/>
              <w:jc w:val="center"/>
              <w:rPr>
                <w:color w:val="auto"/>
                <w:szCs w:val="21"/>
              </w:rPr>
            </w:pPr>
          </w:p>
        </w:tc>
        <w:tc>
          <w:tcPr>
            <w:tcW w:w="1123" w:type="pct"/>
            <w:noWrap w:val="0"/>
            <w:vAlign w:val="center"/>
          </w:tcPr>
          <w:p w14:paraId="361B93AA">
            <w:pPr>
              <w:adjustRightInd w:val="0"/>
              <w:snapToGrid w:val="0"/>
              <w:spacing w:before="50" w:line="360" w:lineRule="auto"/>
              <w:ind w:left="-88" w:leftChars="-42"/>
              <w:jc w:val="center"/>
              <w:rPr>
                <w:color w:val="auto"/>
                <w:szCs w:val="21"/>
              </w:rPr>
            </w:pPr>
          </w:p>
        </w:tc>
        <w:tc>
          <w:tcPr>
            <w:tcW w:w="1000" w:type="pct"/>
            <w:noWrap w:val="0"/>
            <w:vAlign w:val="center"/>
          </w:tcPr>
          <w:p w14:paraId="5463B2F6">
            <w:pPr>
              <w:adjustRightInd w:val="0"/>
              <w:snapToGrid w:val="0"/>
              <w:spacing w:before="50" w:line="360" w:lineRule="auto"/>
              <w:ind w:left="-88" w:leftChars="-42"/>
              <w:jc w:val="center"/>
              <w:rPr>
                <w:color w:val="auto"/>
                <w:szCs w:val="21"/>
              </w:rPr>
            </w:pPr>
          </w:p>
        </w:tc>
        <w:tc>
          <w:tcPr>
            <w:tcW w:w="962" w:type="pct"/>
            <w:noWrap w:val="0"/>
            <w:vAlign w:val="center"/>
          </w:tcPr>
          <w:p w14:paraId="1C23536E">
            <w:pPr>
              <w:adjustRightInd w:val="0"/>
              <w:snapToGrid w:val="0"/>
              <w:spacing w:before="50" w:line="360" w:lineRule="auto"/>
              <w:ind w:left="-88" w:leftChars="-42"/>
              <w:jc w:val="center"/>
              <w:rPr>
                <w:color w:val="auto"/>
                <w:szCs w:val="21"/>
              </w:rPr>
            </w:pPr>
          </w:p>
        </w:tc>
        <w:tc>
          <w:tcPr>
            <w:tcW w:w="905" w:type="pct"/>
            <w:noWrap w:val="0"/>
            <w:vAlign w:val="center"/>
          </w:tcPr>
          <w:p w14:paraId="1B60F28C">
            <w:pPr>
              <w:adjustRightInd w:val="0"/>
              <w:snapToGrid w:val="0"/>
              <w:spacing w:before="50" w:line="360" w:lineRule="auto"/>
              <w:ind w:left="-88" w:leftChars="-42"/>
              <w:jc w:val="center"/>
              <w:rPr>
                <w:color w:val="auto"/>
                <w:szCs w:val="21"/>
              </w:rPr>
            </w:pPr>
          </w:p>
        </w:tc>
        <w:tc>
          <w:tcPr>
            <w:tcW w:w="634" w:type="pct"/>
            <w:noWrap w:val="0"/>
            <w:vAlign w:val="center"/>
          </w:tcPr>
          <w:p w14:paraId="260D2C3B">
            <w:pPr>
              <w:adjustRightInd w:val="0"/>
              <w:snapToGrid w:val="0"/>
              <w:spacing w:before="50" w:line="360" w:lineRule="auto"/>
              <w:ind w:left="-88" w:leftChars="-42"/>
              <w:jc w:val="center"/>
              <w:rPr>
                <w:color w:val="auto"/>
                <w:szCs w:val="21"/>
              </w:rPr>
            </w:pPr>
          </w:p>
        </w:tc>
      </w:tr>
      <w:tr w14:paraId="4639C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E9F4A3">
            <w:pPr>
              <w:adjustRightInd w:val="0"/>
              <w:snapToGrid w:val="0"/>
              <w:spacing w:before="50" w:line="360" w:lineRule="auto"/>
              <w:ind w:left="-88" w:leftChars="-42"/>
              <w:jc w:val="center"/>
              <w:rPr>
                <w:color w:val="auto"/>
                <w:szCs w:val="21"/>
              </w:rPr>
            </w:pPr>
          </w:p>
        </w:tc>
        <w:tc>
          <w:tcPr>
            <w:tcW w:w="1123" w:type="pct"/>
            <w:noWrap w:val="0"/>
            <w:vAlign w:val="center"/>
          </w:tcPr>
          <w:p w14:paraId="038578AF">
            <w:pPr>
              <w:adjustRightInd w:val="0"/>
              <w:snapToGrid w:val="0"/>
              <w:spacing w:before="50" w:line="360" w:lineRule="auto"/>
              <w:ind w:left="-88" w:leftChars="-42"/>
              <w:jc w:val="center"/>
              <w:rPr>
                <w:color w:val="auto"/>
                <w:szCs w:val="21"/>
              </w:rPr>
            </w:pPr>
          </w:p>
        </w:tc>
        <w:tc>
          <w:tcPr>
            <w:tcW w:w="1000" w:type="pct"/>
            <w:noWrap w:val="0"/>
            <w:vAlign w:val="center"/>
          </w:tcPr>
          <w:p w14:paraId="3EC1E8BF">
            <w:pPr>
              <w:adjustRightInd w:val="0"/>
              <w:snapToGrid w:val="0"/>
              <w:spacing w:before="50" w:line="360" w:lineRule="auto"/>
              <w:ind w:left="-88" w:leftChars="-42"/>
              <w:jc w:val="center"/>
              <w:rPr>
                <w:color w:val="auto"/>
                <w:szCs w:val="21"/>
              </w:rPr>
            </w:pPr>
          </w:p>
        </w:tc>
        <w:tc>
          <w:tcPr>
            <w:tcW w:w="962" w:type="pct"/>
            <w:noWrap w:val="0"/>
            <w:vAlign w:val="center"/>
          </w:tcPr>
          <w:p w14:paraId="2D9399DE">
            <w:pPr>
              <w:adjustRightInd w:val="0"/>
              <w:snapToGrid w:val="0"/>
              <w:spacing w:before="50" w:line="360" w:lineRule="auto"/>
              <w:ind w:left="-88" w:leftChars="-42"/>
              <w:jc w:val="center"/>
              <w:rPr>
                <w:color w:val="auto"/>
                <w:szCs w:val="21"/>
              </w:rPr>
            </w:pPr>
          </w:p>
        </w:tc>
        <w:tc>
          <w:tcPr>
            <w:tcW w:w="905" w:type="pct"/>
            <w:noWrap w:val="0"/>
            <w:vAlign w:val="center"/>
          </w:tcPr>
          <w:p w14:paraId="40B26BC6">
            <w:pPr>
              <w:adjustRightInd w:val="0"/>
              <w:snapToGrid w:val="0"/>
              <w:spacing w:before="50" w:line="360" w:lineRule="auto"/>
              <w:ind w:left="-88" w:leftChars="-42"/>
              <w:jc w:val="center"/>
              <w:rPr>
                <w:color w:val="auto"/>
                <w:szCs w:val="21"/>
              </w:rPr>
            </w:pPr>
          </w:p>
        </w:tc>
        <w:tc>
          <w:tcPr>
            <w:tcW w:w="634" w:type="pct"/>
            <w:noWrap w:val="0"/>
            <w:vAlign w:val="center"/>
          </w:tcPr>
          <w:p w14:paraId="407F8781">
            <w:pPr>
              <w:adjustRightInd w:val="0"/>
              <w:snapToGrid w:val="0"/>
              <w:spacing w:before="50" w:line="360" w:lineRule="auto"/>
              <w:ind w:left="-88" w:leftChars="-42"/>
              <w:jc w:val="center"/>
              <w:rPr>
                <w:color w:val="auto"/>
                <w:szCs w:val="21"/>
              </w:rPr>
            </w:pPr>
          </w:p>
        </w:tc>
      </w:tr>
      <w:tr w14:paraId="779DD1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4D1B478">
            <w:pPr>
              <w:adjustRightInd w:val="0"/>
              <w:snapToGrid w:val="0"/>
              <w:spacing w:before="50" w:line="360" w:lineRule="auto"/>
              <w:ind w:left="-88" w:leftChars="-42"/>
              <w:jc w:val="center"/>
              <w:rPr>
                <w:color w:val="auto"/>
                <w:szCs w:val="21"/>
              </w:rPr>
            </w:pPr>
          </w:p>
        </w:tc>
        <w:tc>
          <w:tcPr>
            <w:tcW w:w="1123" w:type="pct"/>
            <w:noWrap w:val="0"/>
            <w:vAlign w:val="center"/>
          </w:tcPr>
          <w:p w14:paraId="2AAD60D8">
            <w:pPr>
              <w:adjustRightInd w:val="0"/>
              <w:snapToGrid w:val="0"/>
              <w:spacing w:before="50" w:line="360" w:lineRule="auto"/>
              <w:ind w:left="-88" w:leftChars="-42"/>
              <w:jc w:val="center"/>
              <w:rPr>
                <w:color w:val="auto"/>
                <w:szCs w:val="21"/>
              </w:rPr>
            </w:pPr>
          </w:p>
        </w:tc>
        <w:tc>
          <w:tcPr>
            <w:tcW w:w="1000" w:type="pct"/>
            <w:noWrap w:val="0"/>
            <w:vAlign w:val="center"/>
          </w:tcPr>
          <w:p w14:paraId="79AABAA5">
            <w:pPr>
              <w:adjustRightInd w:val="0"/>
              <w:snapToGrid w:val="0"/>
              <w:spacing w:before="50" w:line="360" w:lineRule="auto"/>
              <w:ind w:left="-88" w:leftChars="-42"/>
              <w:jc w:val="center"/>
              <w:rPr>
                <w:color w:val="auto"/>
                <w:szCs w:val="21"/>
              </w:rPr>
            </w:pPr>
          </w:p>
        </w:tc>
        <w:tc>
          <w:tcPr>
            <w:tcW w:w="962" w:type="pct"/>
            <w:noWrap w:val="0"/>
            <w:vAlign w:val="center"/>
          </w:tcPr>
          <w:p w14:paraId="6F75F531">
            <w:pPr>
              <w:adjustRightInd w:val="0"/>
              <w:snapToGrid w:val="0"/>
              <w:spacing w:before="50" w:line="360" w:lineRule="auto"/>
              <w:ind w:left="-88" w:leftChars="-42"/>
              <w:jc w:val="center"/>
              <w:rPr>
                <w:color w:val="auto"/>
                <w:szCs w:val="21"/>
              </w:rPr>
            </w:pPr>
          </w:p>
        </w:tc>
        <w:tc>
          <w:tcPr>
            <w:tcW w:w="905" w:type="pct"/>
            <w:noWrap w:val="0"/>
            <w:vAlign w:val="center"/>
          </w:tcPr>
          <w:p w14:paraId="0C922FB7">
            <w:pPr>
              <w:adjustRightInd w:val="0"/>
              <w:snapToGrid w:val="0"/>
              <w:spacing w:before="50" w:line="360" w:lineRule="auto"/>
              <w:ind w:left="-88" w:leftChars="-42"/>
              <w:jc w:val="center"/>
              <w:rPr>
                <w:color w:val="auto"/>
                <w:szCs w:val="21"/>
              </w:rPr>
            </w:pPr>
          </w:p>
        </w:tc>
        <w:tc>
          <w:tcPr>
            <w:tcW w:w="634" w:type="pct"/>
            <w:noWrap w:val="0"/>
            <w:vAlign w:val="center"/>
          </w:tcPr>
          <w:p w14:paraId="19904525">
            <w:pPr>
              <w:adjustRightInd w:val="0"/>
              <w:snapToGrid w:val="0"/>
              <w:spacing w:before="50" w:line="360" w:lineRule="auto"/>
              <w:ind w:left="-88" w:leftChars="-42"/>
              <w:jc w:val="center"/>
              <w:rPr>
                <w:color w:val="auto"/>
                <w:szCs w:val="21"/>
              </w:rPr>
            </w:pPr>
          </w:p>
        </w:tc>
      </w:tr>
      <w:tr w14:paraId="3B58D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A8B7DA4">
            <w:pPr>
              <w:rPr>
                <w:b/>
                <w:color w:val="auto"/>
              </w:rPr>
            </w:pPr>
          </w:p>
        </w:tc>
      </w:tr>
    </w:tbl>
    <w:p w14:paraId="35E278F0">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98D6BEB">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7D37D4D0">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w:t>
      </w:r>
      <w:r>
        <w:rPr>
          <w:rFonts w:hint="eastAsia"/>
          <w:color w:val="auto"/>
          <w:sz w:val="24"/>
          <w:lang w:val="en-US" w:eastAsia="zh-CN"/>
        </w:rPr>
        <w:t>二</w:t>
      </w:r>
      <w:r>
        <w:rPr>
          <w:color w:val="auto"/>
          <w:sz w:val="24"/>
        </w:rPr>
        <w:t>章的所有条款要求，其投标无效；</w:t>
      </w:r>
    </w:p>
    <w:p w14:paraId="70198183">
      <w:pPr>
        <w:adjustRightInd w:val="0"/>
        <w:snapToGrid w:val="0"/>
        <w:spacing w:before="50" w:line="360" w:lineRule="auto"/>
        <w:ind w:left="-88" w:leftChars="-42"/>
        <w:rPr>
          <w:color w:val="auto"/>
        </w:rPr>
      </w:pPr>
      <w:r>
        <w:rPr>
          <w:color w:val="auto"/>
          <w:sz w:val="24"/>
        </w:rPr>
        <w:t>（3）在招标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招标人签订合同。</w:t>
      </w:r>
    </w:p>
    <w:p w14:paraId="7FB18C4F">
      <w:pPr>
        <w:pStyle w:val="18"/>
        <w:rPr>
          <w:color w:val="auto"/>
        </w:rPr>
      </w:pPr>
    </w:p>
    <w:p w14:paraId="5721C18B">
      <w:pPr>
        <w:pStyle w:val="19"/>
        <w:tabs>
          <w:tab w:val="left" w:pos="2312"/>
          <w:tab w:val="left" w:pos="2313"/>
        </w:tabs>
        <w:autoSpaceDE w:val="0"/>
        <w:autoSpaceDN w:val="0"/>
        <w:spacing w:before="43"/>
        <w:ind w:left="2312" w:firstLine="562"/>
        <w:rPr>
          <w:rFonts w:ascii="宋体" w:hAnsi="宋体" w:cs="宋体"/>
          <w:b/>
          <w:color w:val="auto"/>
          <w:sz w:val="28"/>
          <w:szCs w:val="28"/>
        </w:rPr>
      </w:pPr>
      <w:r>
        <w:rPr>
          <w:rFonts w:hint="eastAsia" w:ascii="Times New Roman" w:hAnsi="Times New Roman"/>
          <w:b/>
          <w:bCs/>
          <w:color w:val="auto"/>
          <w:sz w:val="28"/>
          <w:szCs w:val="28"/>
        </w:rPr>
        <w:t>第四部分、</w:t>
      </w:r>
      <w:r>
        <w:rPr>
          <w:rFonts w:hint="eastAsia" w:ascii="宋体" w:hAnsi="宋体" w:cs="宋体"/>
          <w:b/>
          <w:color w:val="auto"/>
          <w:sz w:val="28"/>
          <w:szCs w:val="28"/>
        </w:rPr>
        <w:t>同类项目业绩</w:t>
      </w:r>
    </w:p>
    <w:p w14:paraId="339811EC">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540519AA">
      <w:pPr>
        <w:pStyle w:val="19"/>
        <w:tabs>
          <w:tab w:val="left" w:pos="2312"/>
          <w:tab w:val="left" w:pos="2313"/>
        </w:tabs>
        <w:autoSpaceDE w:val="0"/>
        <w:autoSpaceDN w:val="0"/>
        <w:spacing w:before="43"/>
        <w:ind w:left="2312" w:firstLine="0" w:firstLineChars="0"/>
        <w:rPr>
          <w:rFonts w:ascii="宋体" w:hAnsi="宋体" w:cs="宋体"/>
          <w:b/>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r>
        <w:rPr>
          <w:rFonts w:hint="eastAsia" w:ascii="Times New Roman" w:hAnsi="Times New Roman"/>
          <w:b/>
          <w:bCs/>
          <w:color w:val="auto"/>
          <w:sz w:val="28"/>
          <w:szCs w:val="28"/>
        </w:rPr>
        <w:t>第五部分、</w:t>
      </w:r>
      <w:r>
        <w:rPr>
          <w:rFonts w:hint="eastAsia" w:ascii="Times New Roman" w:hAnsi="Times New Roman"/>
          <w:b/>
          <w:bCs/>
          <w:color w:val="auto"/>
          <w:sz w:val="28"/>
          <w:szCs w:val="28"/>
          <w:lang w:val="en-US" w:eastAsia="zh-CN"/>
        </w:rPr>
        <w:t>技术及</w:t>
      </w:r>
      <w:r>
        <w:rPr>
          <w:rFonts w:hint="eastAsia" w:ascii="宋体" w:hAnsi="宋体" w:cs="宋体"/>
          <w:b/>
          <w:color w:val="auto"/>
          <w:sz w:val="28"/>
          <w:szCs w:val="28"/>
        </w:rPr>
        <w:t>服务方案</w:t>
      </w:r>
    </w:p>
    <w:p w14:paraId="606D4842">
      <w:pPr>
        <w:adjustRightInd w:val="0"/>
        <w:snapToGrid w:val="0"/>
        <w:spacing w:before="120" w:beforeLines="50" w:line="360" w:lineRule="auto"/>
        <w:jc w:val="center"/>
        <w:rPr>
          <w:rFonts w:hint="eastAsia" w:ascii="宋体" w:hAnsi="宋体" w:eastAsia="宋体" w:cs="宋体"/>
          <w:color w:val="auto"/>
          <w:sz w:val="24"/>
          <w:lang w:eastAsia="zh-CN"/>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3028DD90">
      <w:pPr>
        <w:pStyle w:val="17"/>
        <w:rPr>
          <w:rFonts w:hint="eastAsia"/>
          <w:lang w:eastAsia="zh-CN"/>
        </w:rPr>
      </w:pPr>
    </w:p>
    <w:p w14:paraId="34EAA06C">
      <w:pPr>
        <w:numPr>
          <w:ilvl w:val="0"/>
          <w:numId w:val="4"/>
        </w:numPr>
        <w:jc w:val="center"/>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质保及维护方案</w:t>
      </w:r>
    </w:p>
    <w:p w14:paraId="144E637D">
      <w:pPr>
        <w:adjustRightInd w:val="0"/>
        <w:snapToGrid w:val="0"/>
        <w:spacing w:before="120" w:beforeLines="50" w:line="360" w:lineRule="auto"/>
        <w:jc w:val="cente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r>
        <w:rPr>
          <w:rFonts w:hint="eastAsia" w:ascii="宋体" w:hAnsi="宋体" w:cs="宋体"/>
          <w:color w:val="auto"/>
          <w:sz w:val="24"/>
          <w:lang w:eastAsia="zh-CN"/>
        </w:rPr>
        <w:t>。</w:t>
      </w:r>
    </w:p>
    <w:p w14:paraId="2747C70B"/>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A255">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6335C">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9B6335C">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0F20D6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7A7A">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B9C7E">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35B9C7E">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0672D83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6165E">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rPr>
        <w:rFonts w:hint="eastAsia"/>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DFCC3393"/>
    <w:multiLevelType w:val="singleLevel"/>
    <w:tmpl w:val="DFCC3393"/>
    <w:lvl w:ilvl="0" w:tentative="0">
      <w:start w:val="6"/>
      <w:numFmt w:val="chineseCounting"/>
      <w:suff w:val="nothing"/>
      <w:lvlText w:val="第%1部分、"/>
      <w:lvlJc w:val="left"/>
      <w:rPr>
        <w:rFonts w:hint="eastAsia"/>
      </w:rPr>
    </w:lvl>
  </w:abstractNum>
  <w:abstractNum w:abstractNumId="3">
    <w:nsid w:val="F22833F1"/>
    <w:multiLevelType w:val="singleLevel"/>
    <w:tmpl w:val="F22833F1"/>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26353A"/>
    <w:rsid w:val="04B966F4"/>
    <w:rsid w:val="057D647D"/>
    <w:rsid w:val="05F257BC"/>
    <w:rsid w:val="063B7194"/>
    <w:rsid w:val="06E91EC4"/>
    <w:rsid w:val="071C689B"/>
    <w:rsid w:val="08867B61"/>
    <w:rsid w:val="0A854C7E"/>
    <w:rsid w:val="0E274C47"/>
    <w:rsid w:val="0E331420"/>
    <w:rsid w:val="0E76169C"/>
    <w:rsid w:val="0EDD1643"/>
    <w:rsid w:val="102F773C"/>
    <w:rsid w:val="121B456F"/>
    <w:rsid w:val="12994AC5"/>
    <w:rsid w:val="14B65838"/>
    <w:rsid w:val="16EB1D52"/>
    <w:rsid w:val="178865CA"/>
    <w:rsid w:val="17F35B20"/>
    <w:rsid w:val="19BF596B"/>
    <w:rsid w:val="1A1A5AAF"/>
    <w:rsid w:val="1AF56B46"/>
    <w:rsid w:val="1B1626A9"/>
    <w:rsid w:val="1DC3741E"/>
    <w:rsid w:val="1F482B38"/>
    <w:rsid w:val="1FE73549"/>
    <w:rsid w:val="20B41DA7"/>
    <w:rsid w:val="20F751FF"/>
    <w:rsid w:val="22AB7B8A"/>
    <w:rsid w:val="245079B1"/>
    <w:rsid w:val="250C6795"/>
    <w:rsid w:val="25CA6780"/>
    <w:rsid w:val="28E81B29"/>
    <w:rsid w:val="2A461AE0"/>
    <w:rsid w:val="2C7642D0"/>
    <w:rsid w:val="2D7B74EA"/>
    <w:rsid w:val="2E022A6D"/>
    <w:rsid w:val="2EAC037F"/>
    <w:rsid w:val="2EB67A5C"/>
    <w:rsid w:val="2FB477CF"/>
    <w:rsid w:val="302741D2"/>
    <w:rsid w:val="308B184D"/>
    <w:rsid w:val="340F06E9"/>
    <w:rsid w:val="34352901"/>
    <w:rsid w:val="344405F2"/>
    <w:rsid w:val="39996B77"/>
    <w:rsid w:val="3B3B544D"/>
    <w:rsid w:val="3B654F2B"/>
    <w:rsid w:val="3BEC69CC"/>
    <w:rsid w:val="3C01391D"/>
    <w:rsid w:val="3DF12CFC"/>
    <w:rsid w:val="3E7B5510"/>
    <w:rsid w:val="3FC108AC"/>
    <w:rsid w:val="429A4992"/>
    <w:rsid w:val="42CD4735"/>
    <w:rsid w:val="43B25DAC"/>
    <w:rsid w:val="46202E1C"/>
    <w:rsid w:val="46734B18"/>
    <w:rsid w:val="470F629B"/>
    <w:rsid w:val="4AC76A02"/>
    <w:rsid w:val="4B792F36"/>
    <w:rsid w:val="4DCD6AB3"/>
    <w:rsid w:val="4EF80ECE"/>
    <w:rsid w:val="50540C20"/>
    <w:rsid w:val="51487B76"/>
    <w:rsid w:val="51AC28BD"/>
    <w:rsid w:val="52FA7866"/>
    <w:rsid w:val="5370483F"/>
    <w:rsid w:val="537F1F27"/>
    <w:rsid w:val="54653A5E"/>
    <w:rsid w:val="54845466"/>
    <w:rsid w:val="555B5FCF"/>
    <w:rsid w:val="55C40EA9"/>
    <w:rsid w:val="5F671EA4"/>
    <w:rsid w:val="604638E0"/>
    <w:rsid w:val="611B6B1B"/>
    <w:rsid w:val="64133D6A"/>
    <w:rsid w:val="64D01371"/>
    <w:rsid w:val="664741B0"/>
    <w:rsid w:val="66DC57F7"/>
    <w:rsid w:val="678E4F5D"/>
    <w:rsid w:val="6B6C68ED"/>
    <w:rsid w:val="6B6C77EB"/>
    <w:rsid w:val="6DE375E4"/>
    <w:rsid w:val="6DF6123F"/>
    <w:rsid w:val="70715FC2"/>
    <w:rsid w:val="70FA165F"/>
    <w:rsid w:val="71584067"/>
    <w:rsid w:val="750117A8"/>
    <w:rsid w:val="76265FD6"/>
    <w:rsid w:val="76447599"/>
    <w:rsid w:val="77767390"/>
    <w:rsid w:val="7BBF44BB"/>
    <w:rsid w:val="7BF15CE4"/>
    <w:rsid w:val="7EB94084"/>
    <w:rsid w:val="7EC020DA"/>
    <w:rsid w:val="7F323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qFormat/>
    <w:uiPriority w:val="99"/>
    <w:pPr>
      <w:spacing w:line="400" w:lineRule="exact"/>
      <w:ind w:left="630"/>
    </w:pPr>
    <w:rPr>
      <w:rFonts w:ascii="楷体_GB2312"/>
      <w:sz w:val="30"/>
      <w:szCs w:val="30"/>
    </w:rPr>
  </w:style>
  <w:style w:type="paragraph" w:styleId="6">
    <w:name w:val="Normal Indent"/>
    <w:basedOn w:val="1"/>
    <w:qFormat/>
    <w:uiPriority w:val="0"/>
    <w:pPr>
      <w:ind w:firstLine="420" w:firstLineChars="200"/>
    </w:pPr>
    <w:rPr>
      <w:rFonts w:ascii="Times New Roman" w:hAnsi="Times New Roman" w:eastAsia="宋体" w:cs="Times New Roman"/>
      <w:kern w:val="0"/>
      <w:sz w:val="24"/>
    </w:rPr>
  </w:style>
  <w:style w:type="paragraph" w:styleId="7">
    <w:name w:val="footer"/>
    <w:basedOn w:val="1"/>
    <w:qFormat/>
    <w:uiPriority w:val="0"/>
    <w:pPr>
      <w:tabs>
        <w:tab w:val="center" w:pos="4153"/>
        <w:tab w:val="right" w:pos="8306"/>
      </w:tabs>
      <w:snapToGrid w:val="0"/>
      <w:jc w:val="left"/>
    </w:pPr>
    <w:rPr>
      <w:kern w:val="0"/>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customStyle="1" w:styleId="12">
    <w:name w:val="BodyText1I2"/>
    <w:basedOn w:val="13"/>
    <w:qFormat/>
    <w:uiPriority w:val="0"/>
    <w:pPr>
      <w:ind w:firstLine="420"/>
      <w:jc w:val="left"/>
    </w:pPr>
    <w:rPr>
      <w:rFonts w:ascii="Calibri" w:hAnsi="Calibri"/>
      <w:kern w:val="0"/>
    </w:rPr>
  </w:style>
  <w:style w:type="paragraph" w:customStyle="1" w:styleId="13">
    <w:name w:val="BodyTextIndent"/>
    <w:basedOn w:val="1"/>
    <w:qFormat/>
    <w:uiPriority w:val="0"/>
    <w:pPr>
      <w:spacing w:after="120"/>
      <w:ind w:left="420" w:leftChars="200"/>
    </w:p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2"/>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表格文字"/>
    <w:basedOn w:val="1"/>
    <w:qFormat/>
    <w:uiPriority w:val="0"/>
    <w:pPr>
      <w:spacing w:before="25" w:beforeLines="0" w:beforeAutospacing="0" w:after="25" w:afterLines="0" w:afterAutospacing="0"/>
      <w:jc w:val="left"/>
    </w:pPr>
    <w:rPr>
      <w:spacing w:val="10"/>
      <w:kern w:val="0"/>
      <w:sz w:val="24"/>
    </w:rPr>
  </w:style>
  <w:style w:type="character" w:customStyle="1" w:styleId="21">
    <w:name w:val="NormalCharacter"/>
    <w:semiHidden/>
    <w:qFormat/>
    <w:uiPriority w:val="0"/>
    <w:rPr>
      <w:kern w:val="2"/>
      <w:sz w:val="21"/>
      <w:szCs w:val="21"/>
      <w:lang w:val="en-US" w:eastAsia="zh-CN" w:bidi="ar-SA"/>
    </w:rPr>
  </w:style>
  <w:style w:type="paragraph" w:customStyle="1" w:styleId="22">
    <w:name w:val="正文 New New New New New New New New New New New New New New New New New New New New New New New New New New New New New New New New New New New New New New New New New New New New New New New New New New New New New New New New New New New New New New 42"/>
    <w:qFormat/>
    <w:uiPriority w:val="0"/>
    <w:pPr>
      <w:widowControl w:val="0"/>
      <w:jc w:val="both"/>
    </w:pPr>
    <w:rPr>
      <w:rFonts w:ascii="Calibri" w:hAnsi="Calibri" w:eastAsia="宋体" w:cs="Times New Roman"/>
      <w:kern w:val="2"/>
      <w:sz w:val="21"/>
      <w:szCs w:val="24"/>
      <w:lang w:val="en-US" w:eastAsia="zh-CN" w:bidi="ar-SA"/>
    </w:rPr>
  </w:style>
  <w:style w:type="character" w:customStyle="1" w:styleId="23">
    <w:name w:val="font41"/>
    <w:basedOn w:val="11"/>
    <w:qFormat/>
    <w:uiPriority w:val="0"/>
    <w:rPr>
      <w:rFonts w:hint="default" w:ascii="Calibri" w:hAnsi="Calibri" w:cs="Calibri"/>
      <w:color w:val="000000"/>
      <w:sz w:val="22"/>
      <w:szCs w:val="22"/>
      <w:u w:val="none"/>
    </w:rPr>
  </w:style>
  <w:style w:type="character" w:customStyle="1" w:styleId="24">
    <w:name w:val="font31"/>
    <w:basedOn w:val="11"/>
    <w:qFormat/>
    <w:uiPriority w:val="0"/>
    <w:rPr>
      <w:rFonts w:hint="eastAsia" w:ascii="宋体" w:hAnsi="宋体" w:eastAsia="宋体" w:cs="宋体"/>
      <w:color w:val="000000"/>
      <w:sz w:val="22"/>
      <w:szCs w:val="22"/>
      <w:u w:val="none"/>
    </w:rPr>
  </w:style>
  <w:style w:type="character" w:customStyle="1" w:styleId="25">
    <w:name w:val="font61"/>
    <w:basedOn w:val="11"/>
    <w:qFormat/>
    <w:uiPriority w:val="0"/>
    <w:rPr>
      <w:rFonts w:hint="eastAsia" w:ascii="宋体" w:hAnsi="宋体" w:eastAsia="宋体" w:cs="宋体"/>
      <w:color w:val="000000"/>
      <w:sz w:val="12"/>
      <w:szCs w:val="12"/>
      <w:u w:val="none"/>
    </w:rPr>
  </w:style>
  <w:style w:type="character" w:customStyle="1" w:styleId="26">
    <w:name w:val="font71"/>
    <w:basedOn w:val="11"/>
    <w:qFormat/>
    <w:uiPriority w:val="0"/>
    <w:rPr>
      <w:rFonts w:ascii="微软雅黑" w:hAnsi="微软雅黑" w:eastAsia="微软雅黑" w:cs="微软雅黑"/>
      <w:color w:val="000000"/>
      <w:sz w:val="22"/>
      <w:szCs w:val="22"/>
      <w:u w:val="none"/>
    </w:rPr>
  </w:style>
  <w:style w:type="character" w:customStyle="1" w:styleId="27">
    <w:name w:val="font81"/>
    <w:basedOn w:val="11"/>
    <w:qFormat/>
    <w:uiPriority w:val="0"/>
    <w:rPr>
      <w:rFonts w:hint="eastAsia" w:ascii="宋体" w:hAnsi="宋体" w:eastAsia="宋体" w:cs="宋体"/>
      <w:color w:val="000000"/>
      <w:sz w:val="16"/>
      <w:szCs w:val="16"/>
      <w:u w:val="none"/>
    </w:rPr>
  </w:style>
  <w:style w:type="paragraph" w:customStyle="1" w:styleId="28">
    <w:name w:val="列表段落1"/>
    <w:basedOn w:val="1"/>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7532</Words>
  <Characters>8102</Characters>
  <Lines>0</Lines>
  <Paragraphs>0</Paragraphs>
  <TotalTime>9</TotalTime>
  <ScaleCrop>false</ScaleCrop>
  <LinksUpToDate>false</LinksUpToDate>
  <CharactersWithSpaces>8327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2025-12-25T02:36:18Z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