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21B76">
      <w:pPr>
        <w:pStyle w:val="15"/>
        <w:snapToGrid w:val="0"/>
        <w:jc w:val="center"/>
        <w:rPr>
          <w:rFonts w:hint="eastAsia" w:ascii="Arial" w:hAnsi="Arial" w:eastAsia="方正小标宋简体" w:cs="Arial"/>
          <w:sz w:val="72"/>
          <w:szCs w:val="72"/>
        </w:rPr>
      </w:pPr>
      <w:bookmarkStart w:id="0" w:name="_Toc16523570"/>
    </w:p>
    <w:p w14:paraId="36822329">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35A3AC2">
      <w:pPr>
        <w:pStyle w:val="15"/>
        <w:snapToGrid w:val="0"/>
        <w:jc w:val="center"/>
        <w:rPr>
          <w:rFonts w:hint="eastAsia" w:ascii="Arial" w:hAnsi="Arial" w:eastAsia="方正小标宋简体" w:cs="Arial"/>
          <w:sz w:val="72"/>
          <w:szCs w:val="72"/>
        </w:rPr>
      </w:pPr>
    </w:p>
    <w:p w14:paraId="3A869CB6">
      <w:pPr>
        <w:pStyle w:val="15"/>
        <w:snapToGrid w:val="0"/>
        <w:jc w:val="center"/>
        <w:rPr>
          <w:rFonts w:hint="eastAsia" w:ascii="Arial" w:hAnsi="Arial" w:eastAsia="方正小标宋简体" w:cs="Arial"/>
          <w:sz w:val="72"/>
          <w:szCs w:val="72"/>
        </w:rPr>
      </w:pPr>
    </w:p>
    <w:p w14:paraId="6308C621">
      <w:pPr>
        <w:pStyle w:val="15"/>
        <w:snapToGrid w:val="0"/>
        <w:jc w:val="center"/>
        <w:rPr>
          <w:rFonts w:hint="eastAsia" w:ascii="Arial" w:hAnsi="Arial" w:eastAsia="方正小标宋简体" w:cs="Arial"/>
          <w:sz w:val="72"/>
          <w:szCs w:val="72"/>
        </w:rPr>
      </w:pPr>
    </w:p>
    <w:p w14:paraId="77BAE459">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47B5448">
      <w:pPr>
        <w:pStyle w:val="15"/>
        <w:snapToGrid w:val="0"/>
        <w:jc w:val="center"/>
        <w:rPr>
          <w:rFonts w:ascii="Arial" w:hAnsi="Arial" w:cs="Arial"/>
          <w:sz w:val="32"/>
          <w:szCs w:val="32"/>
        </w:rPr>
      </w:pPr>
    </w:p>
    <w:p w14:paraId="2131F55F">
      <w:pPr>
        <w:pStyle w:val="16"/>
        <w:rPr>
          <w:rFonts w:ascii="Arial" w:hAnsi="Arial" w:cs="Arial"/>
          <w:sz w:val="32"/>
          <w:szCs w:val="32"/>
        </w:rPr>
      </w:pPr>
    </w:p>
    <w:p w14:paraId="172E63A8">
      <w:pPr>
        <w:pStyle w:val="9"/>
        <w:rPr>
          <w:rFonts w:ascii="Arial" w:hAnsi="Arial" w:cs="Arial"/>
          <w:sz w:val="32"/>
          <w:szCs w:val="32"/>
        </w:rPr>
      </w:pPr>
    </w:p>
    <w:p w14:paraId="36F01534">
      <w:pPr>
        <w:pStyle w:val="9"/>
        <w:rPr>
          <w:rFonts w:ascii="Arial" w:hAnsi="Arial" w:cs="Arial"/>
          <w:sz w:val="32"/>
          <w:szCs w:val="32"/>
        </w:rPr>
      </w:pPr>
    </w:p>
    <w:p w14:paraId="4BCE7A98">
      <w:pPr>
        <w:pStyle w:val="9"/>
        <w:rPr>
          <w:rFonts w:ascii="Arial" w:hAnsi="Arial" w:cs="Arial"/>
          <w:sz w:val="32"/>
          <w:szCs w:val="32"/>
        </w:rPr>
      </w:pPr>
    </w:p>
    <w:p w14:paraId="6C8100B0">
      <w:pPr>
        <w:pStyle w:val="9"/>
        <w:rPr>
          <w:rFonts w:ascii="Arial" w:hAnsi="Arial" w:cs="Arial"/>
          <w:sz w:val="32"/>
          <w:szCs w:val="32"/>
        </w:rPr>
      </w:pPr>
    </w:p>
    <w:p w14:paraId="37C2D5A4">
      <w:pPr>
        <w:pStyle w:val="9"/>
        <w:rPr>
          <w:rFonts w:ascii="Arial" w:hAnsi="Arial" w:cs="Arial"/>
          <w:sz w:val="32"/>
          <w:szCs w:val="32"/>
        </w:rPr>
      </w:pPr>
    </w:p>
    <w:p w14:paraId="7E1F68C4">
      <w:pPr>
        <w:pStyle w:val="9"/>
        <w:rPr>
          <w:rFonts w:ascii="Arial" w:hAnsi="Arial" w:cs="Arial"/>
          <w:sz w:val="32"/>
          <w:szCs w:val="32"/>
        </w:rPr>
      </w:pPr>
    </w:p>
    <w:p w14:paraId="666BCD9A">
      <w:pPr>
        <w:pStyle w:val="9"/>
        <w:rPr>
          <w:rFonts w:ascii="Arial" w:hAnsi="Arial" w:cs="Arial"/>
          <w:sz w:val="32"/>
          <w:szCs w:val="32"/>
        </w:rPr>
      </w:pPr>
    </w:p>
    <w:p w14:paraId="6CB66431">
      <w:pPr>
        <w:pStyle w:val="15"/>
        <w:snapToGrid w:val="0"/>
        <w:jc w:val="center"/>
        <w:rPr>
          <w:rFonts w:ascii="Arial" w:hAnsi="Arial" w:cs="Arial"/>
          <w:sz w:val="32"/>
          <w:szCs w:val="32"/>
        </w:rPr>
      </w:pPr>
    </w:p>
    <w:p w14:paraId="2E420D01">
      <w:pPr>
        <w:pStyle w:val="15"/>
        <w:snapToGrid w:val="0"/>
        <w:jc w:val="center"/>
        <w:rPr>
          <w:rFonts w:ascii="Arial" w:hAnsi="Arial" w:cs="Arial"/>
          <w:sz w:val="32"/>
          <w:szCs w:val="32"/>
        </w:rPr>
      </w:pPr>
    </w:p>
    <w:p w14:paraId="331534E3">
      <w:pPr>
        <w:spacing w:line="360" w:lineRule="auto"/>
        <w:rPr>
          <w:rFonts w:hint="eastAsia"/>
          <w:bCs/>
          <w:sz w:val="32"/>
          <w:szCs w:val="32"/>
        </w:rPr>
      </w:pPr>
    </w:p>
    <w:p w14:paraId="77CDE0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414399B7">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（免疫荧光显微镜（含成像软件及分析软件）+原位杂交仪医院公开挂网</w:t>
      </w:r>
      <w:r>
        <w:rPr>
          <w:rFonts w:hint="eastAsia" w:ascii="Times New Roman" w:hAnsi="Times New Roman" w:eastAsia="宋体" w:cs="Times New Roman"/>
          <w:b/>
          <w:bCs/>
          <w:kern w:val="44"/>
          <w:sz w:val="32"/>
          <w:szCs w:val="32"/>
          <w:lang w:val="en-US" w:eastAsia="zh-CN" w:bidi="ar-SA"/>
        </w:rPr>
        <w:t>）</w:t>
      </w:r>
    </w:p>
    <w:p w14:paraId="01899626">
      <w:pPr>
        <w:spacing w:line="320" w:lineRule="exact"/>
        <w:jc w:val="left"/>
        <w:rPr>
          <w:sz w:val="24"/>
        </w:rPr>
      </w:pPr>
    </w:p>
    <w:p w14:paraId="4C8F14D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一</w:t>
      </w:r>
      <w:r>
        <w:rPr>
          <w:rFonts w:hint="eastAsia" w:ascii="宋体" w:hAnsi="宋体" w:cs="宋体"/>
          <w:bCs/>
          <w:sz w:val="32"/>
          <w:szCs w:val="32"/>
        </w:rPr>
        <w:t>月</w:t>
      </w:r>
    </w:p>
    <w:p w14:paraId="78D850E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4A66A5A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CDE226E">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免疫荧光显微镜（含成像软件及分析软件）+原位杂交仪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2D313CF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C9F3A4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免疫荧光显微镜（含成像软件及分析软件）+原位杂交仪</w:t>
      </w:r>
      <w:r>
        <w:rPr>
          <w:rFonts w:hint="eastAsia" w:asciiTheme="minorEastAsia" w:hAnsiTheme="minorEastAsia" w:eastAsiaTheme="minorEastAsia" w:cstheme="minorEastAsia"/>
          <w:b w:val="0"/>
          <w:bCs/>
          <w:color w:val="auto"/>
          <w:sz w:val="24"/>
          <w:szCs w:val="24"/>
          <w:lang w:val="en-US" w:eastAsia="zh-CN"/>
        </w:rPr>
        <w:t>项目</w:t>
      </w:r>
    </w:p>
    <w:p w14:paraId="6554C114">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6DBA799">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531BA1C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0C8C153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07BECD4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407CE77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3E7ECD3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3D81FDE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C1AACE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26A80EA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344F8C3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16FA902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018C76B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5EA333D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6E32FE2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6FD0A4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696388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E4150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255E30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35A3C40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26E2E9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FF1BF0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25A4E0D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099E6E4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AA70BFE">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0857D07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6231D96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6A165D4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AAB7406">
      <w:pPr>
        <w:pStyle w:val="16"/>
        <w:rPr>
          <w:rFonts w:hint="eastAsia"/>
          <w:lang w:val="en-US" w:eastAsia="zh-CN"/>
        </w:rPr>
      </w:pPr>
    </w:p>
    <w:p w14:paraId="587974DF">
      <w:pPr>
        <w:pStyle w:val="16"/>
        <w:jc w:val="both"/>
        <w:rPr>
          <w:rFonts w:hint="default"/>
          <w:lang w:val="en-US" w:eastAsia="zh-CN"/>
        </w:rPr>
      </w:pPr>
    </w:p>
    <w:p w14:paraId="7ADDD54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7F192C5">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3A8E88B">
      <w:pPr>
        <w:pStyle w:val="16"/>
        <w:rPr>
          <w:rFonts w:hint="eastAsia" w:ascii="宋体" w:hAnsi="宋体" w:cs="宋体"/>
          <w:b/>
          <w:bCs/>
          <w:color w:val="auto"/>
          <w:sz w:val="44"/>
          <w:szCs w:val="44"/>
          <w:lang w:val="en-US" w:eastAsia="zh-CN"/>
        </w:rPr>
      </w:pPr>
    </w:p>
    <w:p w14:paraId="4475D31F">
      <w:pPr>
        <w:pStyle w:val="9"/>
        <w:rPr>
          <w:rFonts w:hint="eastAsia" w:ascii="宋体" w:hAnsi="宋体" w:cs="宋体"/>
          <w:b/>
          <w:bCs/>
          <w:color w:val="auto"/>
          <w:sz w:val="44"/>
          <w:szCs w:val="44"/>
          <w:lang w:val="en-US" w:eastAsia="zh-CN"/>
        </w:rPr>
      </w:pPr>
    </w:p>
    <w:p w14:paraId="6B2EF577">
      <w:pPr>
        <w:rPr>
          <w:rFonts w:hint="eastAsia" w:ascii="宋体" w:hAnsi="宋体" w:cs="宋体"/>
          <w:b/>
          <w:bCs/>
          <w:color w:val="auto"/>
          <w:sz w:val="44"/>
          <w:szCs w:val="44"/>
          <w:lang w:val="en-US" w:eastAsia="zh-CN"/>
        </w:rPr>
      </w:pPr>
    </w:p>
    <w:p w14:paraId="7AB7ED69">
      <w:pPr>
        <w:pStyle w:val="14"/>
        <w:rPr>
          <w:rFonts w:hint="eastAsia"/>
          <w:lang w:val="en-US" w:eastAsia="zh-CN"/>
        </w:rPr>
      </w:pPr>
    </w:p>
    <w:p w14:paraId="7DFCC22E">
      <w:pPr>
        <w:rPr>
          <w:rFonts w:hint="eastAsia"/>
          <w:lang w:val="en-US" w:eastAsia="zh-CN"/>
        </w:rPr>
      </w:pPr>
      <w:r>
        <w:rPr>
          <w:rFonts w:hint="eastAsia"/>
          <w:lang w:val="en-US" w:eastAsia="zh-CN"/>
        </w:rPr>
        <w:br w:type="page"/>
      </w:r>
    </w:p>
    <w:p w14:paraId="0DFAAEDB">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AA5E9DD">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1C623E8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558A813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AF1150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ED47D2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3323C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EE173A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3C2376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314AB45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4E823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2161097">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免疫荧光显微镜（含成像软件及分析软件）</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C3FF2D">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ECDFF9D">
            <w:pPr>
              <w:jc w:val="center"/>
              <w:rPr>
                <w:rFonts w:hint="default" w:asciiTheme="minorEastAsia" w:hAnsiTheme="minorEastAsia" w:eastAsiaTheme="minorEastAsia" w:cstheme="minorEastAsia"/>
                <w:kern w:val="2"/>
                <w:sz w:val="24"/>
                <w:szCs w:val="24"/>
                <w:lang w:val="en-US" w:eastAsia="zh-CN"/>
              </w:rPr>
            </w:pPr>
            <w:r>
              <w:rPr>
                <w:rFonts w:hint="eastAsia"/>
                <w:lang w:val="en-US" w:eastAsia="zh-CN"/>
              </w:rPr>
              <w:t>28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64234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22B0A76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7597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BF5B237">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原位杂交仪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AB8A3DC">
            <w:pPr>
              <w:jc w:val="center"/>
              <w:rPr>
                <w:rFonts w:hint="eastAsia"/>
                <w:lang w:val="en-US" w:eastAsia="zh-CN"/>
              </w:rPr>
            </w:pPr>
            <w:r>
              <w:rPr>
                <w:rFonts w:hint="eastAsia"/>
                <w:lang w:val="en-US" w:eastAsia="zh-CN"/>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C9E138C">
            <w:pPr>
              <w:jc w:val="center"/>
              <w:rPr>
                <w:rFonts w:hint="eastAsia"/>
                <w:lang w:val="en-US" w:eastAsia="zh-CN"/>
              </w:rPr>
            </w:pPr>
            <w:r>
              <w:rPr>
                <w:rFonts w:hint="eastAsia"/>
                <w:lang w:val="en-US" w:eastAsia="zh-CN"/>
              </w:rPr>
              <w:t>2.5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6C496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4071913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3328"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C496BE1">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E781F01">
            <w:pPr>
              <w:jc w:val="center"/>
              <w:rPr>
                <w:rFonts w:hint="eastAsia"/>
                <w:lang w:val="en-US" w:eastAsia="zh-CN"/>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EA4C7B4">
            <w:pPr>
              <w:jc w:val="center"/>
              <w:rPr>
                <w:rFonts w:hint="default"/>
                <w:lang w:val="en-US" w:eastAsia="zh-CN"/>
              </w:rPr>
            </w:pPr>
            <w:r>
              <w:rPr>
                <w:rFonts w:hint="eastAsia"/>
                <w:lang w:val="en-US" w:eastAsia="zh-CN"/>
              </w:rPr>
              <w:t>30.5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DDFB8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r>
    </w:tbl>
    <w:p w14:paraId="548EB7DB">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455C225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015AD78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434A8AA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2778F66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D893EA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一、免疫荧光显微镜（含成像软件及分析软件）1台</w:t>
      </w:r>
    </w:p>
    <w:p w14:paraId="6332641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▲1、光学系统：无限远色差反差双重校正光学系统，45mm国际标准物镜齐焦距离，所有光学部件（包括物镜，目镜，透镜，棱镜）均具有抗反射和抗真菌涂层。</w:t>
      </w:r>
    </w:p>
    <w:p w14:paraId="307674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2、同轴粗微调焦机构，调焦范围24mm，粗调一圈4mm，微调一圈0.4mm及最小4μm的刻度，内置免调节防下滑机构，不采用易损的外部松紧调节环。。</w:t>
      </w:r>
    </w:p>
    <w:p w14:paraId="2F25317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3、明场照明装置：主动光强管理系统，可适用于所有物镜，用于自动调节对应物镜和滤块的光强。内置透射光科勒照明器，高亮度高显色性编码LED长寿命光源，显色指数＞95，功率10W，大于60000小时使用寿命。</w:t>
      </w:r>
    </w:p>
    <w:p w14:paraId="0D11A1B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载物台：载物台无暴露齿条，耐磨阳极氧化表面，手柄松紧度可调，具有15mm的延伸长度，以确保符合人体工程学的工作位置，减轻疲劳；用于单手操作的样品夹，减少用户频繁更换玻片，方便用户对比不同的玻片。</w:t>
      </w:r>
    </w:p>
    <w:p w14:paraId="4F49294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5、超宽视野三目镜筒，视场数≥22mm，倾角30度。目镜筒360度自由旋转，瞳距48-75mm可调； </w:t>
      </w:r>
    </w:p>
    <w:p w14:paraId="0047F3B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6、10倍超宽视野目镜，高眼点设计,视场数≥22mm），双目屈光度可调。</w:t>
      </w:r>
    </w:p>
    <w:p w14:paraId="3F8AAB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7、6位编码型物镜转换器，不同倍数物镜可分别定义光强，切换时自动匹配亮度。</w:t>
      </w:r>
    </w:p>
    <w:p w14:paraId="6674ACC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8、针对正置显微镜应用优化的高分辨率、高透过率物镜</w:t>
      </w:r>
    </w:p>
    <w:p w14:paraId="3F21E70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物镜 10×（NA 0.25）</w:t>
      </w:r>
    </w:p>
    <w:p w14:paraId="1BDBC11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物镜 40×（NA 0.65）</w:t>
      </w:r>
    </w:p>
    <w:p w14:paraId="7AFE8A5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平场EC增加对比度萤石物镜 100×油镜（N.A. 1.3）</w:t>
      </w:r>
    </w:p>
    <w:p w14:paraId="38740F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9、聚光镜：非摆动式多功能聚光镜：NA≥0.9/1.25。</w:t>
      </w:r>
    </w:p>
    <w:p w14:paraId="1FEE09D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10、荧光光源：光强可调。无热效应液体光缆连接，光强可调，使用寿命≥2000个小时。</w:t>
      </w:r>
    </w:p>
    <w:p w14:paraId="38E427A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11、机身集成透射光反射光电动光闸，一键切换荧光及透射光观察方式，切换到荧光时，透射光光闸自动关闭。</w:t>
      </w:r>
    </w:p>
    <w:p w14:paraId="0293BE4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12、荧光光源：荧光专用光源</w:t>
      </w:r>
    </w:p>
    <w:p w14:paraId="5423A73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▲13、FISH专用荧光滤色镜套：红、蓝、绿，红绿双通4组滤色块</w:t>
      </w:r>
    </w:p>
    <w:p w14:paraId="1CAD622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★14、编码型荧光激发块转盘：≥5孔，复消色差荧光光路。</w:t>
      </w:r>
    </w:p>
    <w:p w14:paraId="65A2969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15、FISH成像摄像头：尺寸：2/3英寸芯片,像素 ≥500万,</w:t>
      </w:r>
    </w:p>
    <w:p w14:paraId="010E853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FISH分析系统：操作界面友好，对应于图片处理的每一步，软件自上而下的操作过程按钮，满足用户对操作过程尽量合理、简单的要求。科学级无损格式图像输出，高保真色彩还原全局白平衡和区域白平衡功能；随机配图像处理软件：拍照、录像、测量、实时视频拼接、实时景深扩展等功能；可调节亮度、对比度，具有图像复制、剪切、旋转、镜像等处理功能；可添加标尺，从而显示图像的放大比例关系。</w:t>
      </w:r>
    </w:p>
    <w:p w14:paraId="6E16A8FC">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1"/>
        <w:tblpPr w:leftFromText="180" w:rightFromText="180" w:vertAnchor="text" w:horzAnchor="page" w:tblpX="1957" w:tblpY="47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4365"/>
        <w:gridCol w:w="2235"/>
      </w:tblGrid>
      <w:tr w14:paraId="61DC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96" w:type="dxa"/>
            <w:vAlign w:val="center"/>
          </w:tcPr>
          <w:p w14:paraId="00C3FC81">
            <w:pPr>
              <w:spacing w:line="240" w:lineRule="auto"/>
              <w:jc w:val="center"/>
              <w:rPr>
                <w:rFonts w:hint="eastAsia" w:eastAsia="宋体"/>
                <w:b/>
                <w:bCs/>
                <w:lang w:val="en-US" w:eastAsia="zh-CN"/>
              </w:rPr>
            </w:pPr>
            <w:r>
              <w:rPr>
                <w:rFonts w:hint="eastAsia"/>
                <w:b/>
                <w:bCs/>
                <w:lang w:val="en-US" w:eastAsia="zh-CN"/>
              </w:rPr>
              <w:t>序号</w:t>
            </w:r>
          </w:p>
        </w:tc>
        <w:tc>
          <w:tcPr>
            <w:tcW w:w="4365" w:type="dxa"/>
            <w:vAlign w:val="center"/>
          </w:tcPr>
          <w:p w14:paraId="79BA807B">
            <w:pPr>
              <w:spacing w:line="240" w:lineRule="auto"/>
              <w:jc w:val="center"/>
              <w:rPr>
                <w:rFonts w:hint="eastAsia" w:eastAsia="宋体"/>
                <w:b/>
                <w:bCs/>
                <w:lang w:eastAsia="zh-CN"/>
              </w:rPr>
            </w:pPr>
            <w:r>
              <w:rPr>
                <w:rFonts w:hint="eastAsia"/>
                <w:b/>
                <w:bCs/>
                <w:lang w:val="en-US" w:eastAsia="zh-CN"/>
              </w:rPr>
              <w:t>名称</w:t>
            </w:r>
          </w:p>
        </w:tc>
        <w:tc>
          <w:tcPr>
            <w:tcW w:w="2235" w:type="dxa"/>
            <w:vAlign w:val="center"/>
          </w:tcPr>
          <w:p w14:paraId="02DFE18E">
            <w:pPr>
              <w:spacing w:line="240" w:lineRule="auto"/>
              <w:jc w:val="center"/>
              <w:rPr>
                <w:b/>
                <w:bCs/>
              </w:rPr>
            </w:pPr>
            <w:r>
              <w:rPr>
                <w:rFonts w:hint="eastAsia"/>
                <w:b/>
                <w:bCs/>
              </w:rPr>
              <w:t>数量</w:t>
            </w:r>
          </w:p>
        </w:tc>
      </w:tr>
      <w:tr w14:paraId="661DA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696" w:type="dxa"/>
            <w:shd w:val="clear" w:color="auto" w:fill="auto"/>
            <w:vAlign w:val="center"/>
          </w:tcPr>
          <w:p w14:paraId="6A299F85">
            <w:pPr>
              <w:spacing w:line="240" w:lineRule="auto"/>
              <w:jc w:val="center"/>
              <w:rPr>
                <w:rFonts w:ascii="Calibri" w:hAnsi="Calibri" w:eastAsia="宋体" w:cs="Times New Roman"/>
                <w:b/>
                <w:bCs/>
                <w:kern w:val="2"/>
                <w:sz w:val="21"/>
                <w:szCs w:val="24"/>
                <w:lang w:val="en-US" w:eastAsia="zh-CN" w:bidi="ar-SA"/>
              </w:rPr>
            </w:pPr>
            <w:r>
              <w:rPr>
                <w:rFonts w:hint="eastAsia"/>
                <w:b/>
                <w:bCs/>
              </w:rPr>
              <w:t>1</w:t>
            </w:r>
          </w:p>
        </w:tc>
        <w:tc>
          <w:tcPr>
            <w:tcW w:w="4365" w:type="dxa"/>
            <w:vAlign w:val="center"/>
          </w:tcPr>
          <w:p w14:paraId="59D9ADFF">
            <w:pPr>
              <w:spacing w:line="240" w:lineRule="auto"/>
              <w:jc w:val="center"/>
            </w:pPr>
            <w:r>
              <w:rPr>
                <w:rFonts w:hint="eastAsia"/>
              </w:rPr>
              <w:t>生物显微镜主机</w:t>
            </w:r>
          </w:p>
        </w:tc>
        <w:tc>
          <w:tcPr>
            <w:tcW w:w="2235" w:type="dxa"/>
            <w:vAlign w:val="center"/>
          </w:tcPr>
          <w:p w14:paraId="0EF4F312">
            <w:pPr>
              <w:spacing w:line="240" w:lineRule="auto"/>
              <w:jc w:val="center"/>
            </w:pPr>
            <w:r>
              <w:rPr>
                <w:rFonts w:hint="eastAsia"/>
              </w:rPr>
              <w:t>1</w:t>
            </w:r>
          </w:p>
        </w:tc>
      </w:tr>
      <w:tr w14:paraId="6F9B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696" w:type="dxa"/>
            <w:shd w:val="clear" w:color="auto" w:fill="auto"/>
            <w:vAlign w:val="center"/>
          </w:tcPr>
          <w:p w14:paraId="1BB9E1AC">
            <w:pPr>
              <w:spacing w:line="240" w:lineRule="auto"/>
              <w:jc w:val="center"/>
              <w:rPr>
                <w:rFonts w:ascii="Calibri" w:hAnsi="Calibri" w:eastAsia="宋体" w:cs="Times New Roman"/>
                <w:kern w:val="2"/>
                <w:sz w:val="21"/>
                <w:szCs w:val="24"/>
                <w:lang w:val="en-US" w:eastAsia="zh-CN" w:bidi="ar-SA"/>
              </w:rPr>
            </w:pPr>
            <w:r>
              <w:rPr>
                <w:rFonts w:hint="eastAsia"/>
              </w:rPr>
              <w:t>2</w:t>
            </w:r>
          </w:p>
        </w:tc>
        <w:tc>
          <w:tcPr>
            <w:tcW w:w="4365" w:type="dxa"/>
            <w:vAlign w:val="center"/>
          </w:tcPr>
          <w:p w14:paraId="451334F0">
            <w:pPr>
              <w:spacing w:line="240" w:lineRule="auto"/>
              <w:jc w:val="center"/>
            </w:pPr>
            <w:r>
              <w:rPr>
                <w:rFonts w:hint="eastAsia"/>
              </w:rPr>
              <w:t>目镜</w:t>
            </w:r>
          </w:p>
        </w:tc>
        <w:tc>
          <w:tcPr>
            <w:tcW w:w="2235" w:type="dxa"/>
            <w:vAlign w:val="center"/>
          </w:tcPr>
          <w:p w14:paraId="0CE2B089">
            <w:pPr>
              <w:spacing w:line="240" w:lineRule="auto"/>
              <w:jc w:val="center"/>
            </w:pPr>
            <w:r>
              <w:rPr>
                <w:rFonts w:hint="eastAsia"/>
              </w:rPr>
              <w:t>2</w:t>
            </w:r>
          </w:p>
        </w:tc>
      </w:tr>
      <w:tr w14:paraId="103F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696" w:type="dxa"/>
            <w:shd w:val="clear" w:color="auto" w:fill="auto"/>
            <w:vAlign w:val="center"/>
          </w:tcPr>
          <w:p w14:paraId="2E3308EE">
            <w:pPr>
              <w:spacing w:line="240" w:lineRule="auto"/>
              <w:jc w:val="center"/>
              <w:rPr>
                <w:rFonts w:ascii="Calibri" w:hAnsi="Calibri" w:eastAsia="宋体" w:cs="Times New Roman"/>
                <w:kern w:val="2"/>
                <w:sz w:val="21"/>
                <w:szCs w:val="24"/>
                <w:lang w:val="en-US" w:eastAsia="zh-CN" w:bidi="ar-SA"/>
              </w:rPr>
            </w:pPr>
            <w:r>
              <w:rPr>
                <w:rFonts w:hint="eastAsia"/>
              </w:rPr>
              <w:t>3</w:t>
            </w:r>
          </w:p>
        </w:tc>
        <w:tc>
          <w:tcPr>
            <w:tcW w:w="4365" w:type="dxa"/>
            <w:vAlign w:val="center"/>
          </w:tcPr>
          <w:p w14:paraId="76EA70A5">
            <w:pPr>
              <w:spacing w:line="240" w:lineRule="auto"/>
              <w:jc w:val="center"/>
            </w:pPr>
            <w:r>
              <w:rPr>
                <w:rFonts w:hint="eastAsia"/>
              </w:rPr>
              <w:t>1</w:t>
            </w:r>
            <w:r>
              <w:t>0</w:t>
            </w:r>
            <w:r>
              <w:rPr>
                <w:rFonts w:hint="eastAsia"/>
              </w:rPr>
              <w:t>X物镜</w:t>
            </w:r>
          </w:p>
        </w:tc>
        <w:tc>
          <w:tcPr>
            <w:tcW w:w="2235" w:type="dxa"/>
            <w:vAlign w:val="center"/>
          </w:tcPr>
          <w:p w14:paraId="1AF05025">
            <w:pPr>
              <w:spacing w:line="240" w:lineRule="auto"/>
              <w:jc w:val="center"/>
            </w:pPr>
            <w:r>
              <w:rPr>
                <w:rFonts w:hint="eastAsia"/>
              </w:rPr>
              <w:t>1</w:t>
            </w:r>
          </w:p>
        </w:tc>
      </w:tr>
      <w:tr w14:paraId="436D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696" w:type="dxa"/>
            <w:shd w:val="clear" w:color="auto" w:fill="auto"/>
            <w:vAlign w:val="center"/>
          </w:tcPr>
          <w:p w14:paraId="6C1EACDD">
            <w:pPr>
              <w:spacing w:line="240" w:lineRule="auto"/>
              <w:jc w:val="center"/>
              <w:rPr>
                <w:rFonts w:ascii="Calibri" w:hAnsi="Calibri" w:eastAsia="宋体" w:cs="Times New Roman"/>
                <w:kern w:val="2"/>
                <w:sz w:val="21"/>
                <w:szCs w:val="24"/>
                <w:lang w:val="en-US" w:eastAsia="zh-CN" w:bidi="ar-SA"/>
              </w:rPr>
            </w:pPr>
            <w:r>
              <w:rPr>
                <w:rFonts w:hint="eastAsia"/>
              </w:rPr>
              <w:t>4</w:t>
            </w:r>
          </w:p>
        </w:tc>
        <w:tc>
          <w:tcPr>
            <w:tcW w:w="4365" w:type="dxa"/>
            <w:vAlign w:val="center"/>
          </w:tcPr>
          <w:p w14:paraId="6FDA7FF6">
            <w:pPr>
              <w:spacing w:line="240" w:lineRule="auto"/>
              <w:jc w:val="center"/>
            </w:pPr>
            <w:r>
              <w:rPr>
                <w:rFonts w:hint="eastAsia"/>
              </w:rPr>
              <w:t>4</w:t>
            </w:r>
            <w:r>
              <w:t>0</w:t>
            </w:r>
            <w:r>
              <w:rPr>
                <w:rFonts w:hint="eastAsia"/>
              </w:rPr>
              <w:t>X物镜</w:t>
            </w:r>
          </w:p>
        </w:tc>
        <w:tc>
          <w:tcPr>
            <w:tcW w:w="2235" w:type="dxa"/>
            <w:vAlign w:val="center"/>
          </w:tcPr>
          <w:p w14:paraId="2C6BECF1">
            <w:pPr>
              <w:spacing w:line="240" w:lineRule="auto"/>
              <w:jc w:val="center"/>
            </w:pPr>
            <w:r>
              <w:rPr>
                <w:rFonts w:hint="eastAsia"/>
              </w:rPr>
              <w:t>1</w:t>
            </w:r>
          </w:p>
        </w:tc>
      </w:tr>
      <w:tr w14:paraId="30F8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696" w:type="dxa"/>
            <w:shd w:val="clear" w:color="auto" w:fill="auto"/>
            <w:vAlign w:val="center"/>
          </w:tcPr>
          <w:p w14:paraId="5DED4A06">
            <w:pPr>
              <w:spacing w:line="240" w:lineRule="auto"/>
              <w:jc w:val="center"/>
              <w:rPr>
                <w:rFonts w:ascii="Calibri" w:hAnsi="Calibri" w:eastAsia="宋体" w:cs="Times New Roman"/>
                <w:kern w:val="2"/>
                <w:sz w:val="21"/>
                <w:szCs w:val="24"/>
                <w:lang w:val="en-US" w:eastAsia="zh-CN" w:bidi="ar-SA"/>
              </w:rPr>
            </w:pPr>
            <w:r>
              <w:rPr>
                <w:rFonts w:hint="eastAsia"/>
              </w:rPr>
              <w:t>5</w:t>
            </w:r>
          </w:p>
        </w:tc>
        <w:tc>
          <w:tcPr>
            <w:tcW w:w="4365" w:type="dxa"/>
            <w:vAlign w:val="center"/>
          </w:tcPr>
          <w:p w14:paraId="733DA337">
            <w:pPr>
              <w:spacing w:line="240" w:lineRule="auto"/>
              <w:jc w:val="center"/>
            </w:pPr>
            <w:r>
              <w:rPr>
                <w:rFonts w:hint="eastAsia"/>
              </w:rPr>
              <w:t>1</w:t>
            </w:r>
            <w:r>
              <w:t>00</w:t>
            </w:r>
            <w:r>
              <w:rPr>
                <w:rFonts w:hint="eastAsia"/>
              </w:rPr>
              <w:t>X物镜</w:t>
            </w:r>
          </w:p>
        </w:tc>
        <w:tc>
          <w:tcPr>
            <w:tcW w:w="2235" w:type="dxa"/>
            <w:vAlign w:val="center"/>
          </w:tcPr>
          <w:p w14:paraId="1EAB696C">
            <w:pPr>
              <w:spacing w:line="240" w:lineRule="auto"/>
              <w:jc w:val="center"/>
            </w:pPr>
            <w:r>
              <w:rPr>
                <w:rFonts w:hint="eastAsia"/>
              </w:rPr>
              <w:t>1</w:t>
            </w:r>
          </w:p>
        </w:tc>
      </w:tr>
      <w:tr w14:paraId="67A29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96" w:type="dxa"/>
            <w:shd w:val="clear" w:color="auto" w:fill="auto"/>
            <w:vAlign w:val="center"/>
          </w:tcPr>
          <w:p w14:paraId="37DF10AF">
            <w:pPr>
              <w:spacing w:line="240" w:lineRule="auto"/>
              <w:jc w:val="center"/>
              <w:rPr>
                <w:rFonts w:ascii="Calibri" w:hAnsi="Calibri" w:eastAsia="宋体" w:cs="Times New Roman"/>
                <w:kern w:val="2"/>
                <w:sz w:val="21"/>
                <w:szCs w:val="24"/>
                <w:lang w:val="en-US" w:eastAsia="zh-CN" w:bidi="ar-SA"/>
              </w:rPr>
            </w:pPr>
            <w:r>
              <w:rPr>
                <w:rFonts w:hint="eastAsia"/>
              </w:rPr>
              <w:t>6</w:t>
            </w:r>
          </w:p>
        </w:tc>
        <w:tc>
          <w:tcPr>
            <w:tcW w:w="4365" w:type="dxa"/>
            <w:vAlign w:val="center"/>
          </w:tcPr>
          <w:p w14:paraId="038FE178">
            <w:pPr>
              <w:spacing w:line="240" w:lineRule="auto"/>
              <w:jc w:val="center"/>
            </w:pPr>
            <w:r>
              <w:rPr>
                <w:rFonts w:hint="eastAsia"/>
              </w:rPr>
              <w:t>聚光镜</w:t>
            </w:r>
          </w:p>
        </w:tc>
        <w:tc>
          <w:tcPr>
            <w:tcW w:w="2235" w:type="dxa"/>
            <w:vAlign w:val="center"/>
          </w:tcPr>
          <w:p w14:paraId="41C96E8B">
            <w:pPr>
              <w:spacing w:line="240" w:lineRule="auto"/>
              <w:jc w:val="center"/>
            </w:pPr>
            <w:r>
              <w:rPr>
                <w:rFonts w:hint="eastAsia"/>
              </w:rPr>
              <w:t>1</w:t>
            </w:r>
          </w:p>
        </w:tc>
      </w:tr>
      <w:tr w14:paraId="0B9C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96" w:type="dxa"/>
            <w:shd w:val="clear" w:color="auto" w:fill="auto"/>
            <w:vAlign w:val="center"/>
          </w:tcPr>
          <w:p w14:paraId="64455766">
            <w:pPr>
              <w:spacing w:line="240" w:lineRule="auto"/>
              <w:jc w:val="center"/>
              <w:rPr>
                <w:rFonts w:ascii="Calibri" w:hAnsi="Calibri" w:eastAsia="宋体" w:cs="Times New Roman"/>
                <w:kern w:val="2"/>
                <w:sz w:val="21"/>
                <w:szCs w:val="24"/>
                <w:lang w:val="en-US" w:eastAsia="zh-CN" w:bidi="ar-SA"/>
              </w:rPr>
            </w:pPr>
            <w:r>
              <w:rPr>
                <w:rFonts w:hint="eastAsia"/>
              </w:rPr>
              <w:t>7</w:t>
            </w:r>
          </w:p>
        </w:tc>
        <w:tc>
          <w:tcPr>
            <w:tcW w:w="4365" w:type="dxa"/>
            <w:vAlign w:val="center"/>
          </w:tcPr>
          <w:p w14:paraId="5336BEA4">
            <w:pPr>
              <w:spacing w:line="240" w:lineRule="auto"/>
              <w:jc w:val="center"/>
            </w:pPr>
            <w:r>
              <w:rPr>
                <w:rFonts w:hint="eastAsia"/>
              </w:rPr>
              <w:t>FISH红色滤块</w:t>
            </w:r>
          </w:p>
        </w:tc>
        <w:tc>
          <w:tcPr>
            <w:tcW w:w="2235" w:type="dxa"/>
            <w:vAlign w:val="center"/>
          </w:tcPr>
          <w:p w14:paraId="763C8A91">
            <w:pPr>
              <w:spacing w:line="240" w:lineRule="auto"/>
              <w:jc w:val="center"/>
            </w:pPr>
            <w:r>
              <w:rPr>
                <w:rFonts w:hint="eastAsia"/>
              </w:rPr>
              <w:t>1</w:t>
            </w:r>
          </w:p>
        </w:tc>
      </w:tr>
      <w:tr w14:paraId="2721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696" w:type="dxa"/>
            <w:shd w:val="clear" w:color="auto" w:fill="auto"/>
            <w:vAlign w:val="center"/>
          </w:tcPr>
          <w:p w14:paraId="58213F34">
            <w:pPr>
              <w:spacing w:line="240" w:lineRule="auto"/>
              <w:jc w:val="center"/>
              <w:rPr>
                <w:rFonts w:ascii="Calibri" w:hAnsi="Calibri" w:eastAsia="宋体" w:cs="Times New Roman"/>
                <w:kern w:val="2"/>
                <w:sz w:val="21"/>
                <w:szCs w:val="24"/>
                <w:lang w:val="en-US" w:eastAsia="zh-CN" w:bidi="ar-SA"/>
              </w:rPr>
            </w:pPr>
            <w:r>
              <w:rPr>
                <w:rFonts w:hint="eastAsia"/>
              </w:rPr>
              <w:t>8</w:t>
            </w:r>
          </w:p>
        </w:tc>
        <w:tc>
          <w:tcPr>
            <w:tcW w:w="4365" w:type="dxa"/>
            <w:vAlign w:val="center"/>
          </w:tcPr>
          <w:p w14:paraId="0E829632">
            <w:pPr>
              <w:spacing w:line="240" w:lineRule="auto"/>
              <w:jc w:val="center"/>
            </w:pPr>
            <w:r>
              <w:rPr>
                <w:rFonts w:hint="eastAsia"/>
              </w:rPr>
              <w:t>FISH绿色滤块</w:t>
            </w:r>
          </w:p>
        </w:tc>
        <w:tc>
          <w:tcPr>
            <w:tcW w:w="2235" w:type="dxa"/>
            <w:vAlign w:val="center"/>
          </w:tcPr>
          <w:p w14:paraId="42C8A9A5">
            <w:pPr>
              <w:spacing w:line="240" w:lineRule="auto"/>
              <w:jc w:val="center"/>
            </w:pPr>
            <w:r>
              <w:rPr>
                <w:rFonts w:hint="eastAsia"/>
              </w:rPr>
              <w:t>1</w:t>
            </w:r>
          </w:p>
        </w:tc>
      </w:tr>
      <w:tr w14:paraId="6DFF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696" w:type="dxa"/>
            <w:shd w:val="clear" w:color="auto" w:fill="auto"/>
            <w:vAlign w:val="center"/>
          </w:tcPr>
          <w:p w14:paraId="77A61750">
            <w:pPr>
              <w:spacing w:line="240" w:lineRule="auto"/>
              <w:jc w:val="center"/>
              <w:rPr>
                <w:rFonts w:ascii="Calibri" w:hAnsi="Calibri" w:eastAsia="宋体" w:cs="Times New Roman"/>
                <w:kern w:val="2"/>
                <w:sz w:val="21"/>
                <w:szCs w:val="24"/>
                <w:lang w:val="en-US" w:eastAsia="zh-CN" w:bidi="ar-SA"/>
              </w:rPr>
            </w:pPr>
            <w:r>
              <w:rPr>
                <w:rFonts w:hint="eastAsia"/>
              </w:rPr>
              <w:t>9</w:t>
            </w:r>
          </w:p>
        </w:tc>
        <w:tc>
          <w:tcPr>
            <w:tcW w:w="4365" w:type="dxa"/>
            <w:vAlign w:val="center"/>
          </w:tcPr>
          <w:p w14:paraId="39D9630E">
            <w:pPr>
              <w:spacing w:line="240" w:lineRule="auto"/>
              <w:jc w:val="center"/>
            </w:pPr>
            <w:r>
              <w:rPr>
                <w:rFonts w:hint="eastAsia"/>
              </w:rPr>
              <w:t>FISH蓝色滤块</w:t>
            </w:r>
          </w:p>
        </w:tc>
        <w:tc>
          <w:tcPr>
            <w:tcW w:w="2235" w:type="dxa"/>
            <w:vAlign w:val="center"/>
          </w:tcPr>
          <w:p w14:paraId="63B9E7D3">
            <w:pPr>
              <w:spacing w:line="240" w:lineRule="auto"/>
              <w:jc w:val="center"/>
            </w:pPr>
            <w:r>
              <w:rPr>
                <w:rFonts w:hint="eastAsia"/>
              </w:rPr>
              <w:t>1</w:t>
            </w:r>
          </w:p>
        </w:tc>
      </w:tr>
      <w:tr w14:paraId="2E99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96" w:type="dxa"/>
            <w:shd w:val="clear" w:color="auto" w:fill="auto"/>
            <w:vAlign w:val="center"/>
          </w:tcPr>
          <w:p w14:paraId="677389CB">
            <w:pPr>
              <w:spacing w:line="240" w:lineRule="auto"/>
              <w:jc w:val="center"/>
              <w:rPr>
                <w:rFonts w:ascii="Calibri" w:hAnsi="Calibri" w:eastAsia="宋体" w:cs="Times New Roman"/>
                <w:kern w:val="2"/>
                <w:sz w:val="21"/>
                <w:szCs w:val="24"/>
                <w:lang w:val="en-US" w:eastAsia="zh-CN" w:bidi="ar-SA"/>
              </w:rPr>
            </w:pPr>
            <w:r>
              <w:rPr>
                <w:rFonts w:hint="eastAsia"/>
              </w:rPr>
              <w:t>1</w:t>
            </w:r>
            <w:r>
              <w:t>0</w:t>
            </w:r>
          </w:p>
        </w:tc>
        <w:tc>
          <w:tcPr>
            <w:tcW w:w="4365" w:type="dxa"/>
            <w:vAlign w:val="center"/>
          </w:tcPr>
          <w:p w14:paraId="567A2628">
            <w:pPr>
              <w:spacing w:line="240" w:lineRule="auto"/>
              <w:jc w:val="center"/>
            </w:pPr>
            <w:r>
              <w:rPr>
                <w:rFonts w:hint="eastAsia"/>
              </w:rPr>
              <w:t>FISH红绿色滤块</w:t>
            </w:r>
          </w:p>
        </w:tc>
        <w:tc>
          <w:tcPr>
            <w:tcW w:w="2235" w:type="dxa"/>
            <w:vAlign w:val="center"/>
          </w:tcPr>
          <w:p w14:paraId="2716BE93">
            <w:pPr>
              <w:spacing w:line="240" w:lineRule="auto"/>
              <w:jc w:val="center"/>
            </w:pPr>
            <w:r>
              <w:rPr>
                <w:rFonts w:hint="eastAsia"/>
              </w:rPr>
              <w:t>1</w:t>
            </w:r>
          </w:p>
        </w:tc>
      </w:tr>
      <w:tr w14:paraId="34E6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696" w:type="dxa"/>
            <w:shd w:val="clear" w:color="auto" w:fill="auto"/>
            <w:vAlign w:val="center"/>
          </w:tcPr>
          <w:p w14:paraId="3C1A29BC">
            <w:pPr>
              <w:spacing w:line="240" w:lineRule="auto"/>
              <w:jc w:val="center"/>
              <w:rPr>
                <w:rFonts w:ascii="Calibri" w:hAnsi="Calibri" w:eastAsia="宋体" w:cs="Times New Roman"/>
                <w:kern w:val="2"/>
                <w:sz w:val="21"/>
                <w:szCs w:val="24"/>
                <w:lang w:val="en-US" w:eastAsia="zh-CN" w:bidi="ar-SA"/>
              </w:rPr>
            </w:pPr>
            <w:r>
              <w:rPr>
                <w:rFonts w:hint="eastAsia"/>
              </w:rPr>
              <w:t>1</w:t>
            </w:r>
            <w:r>
              <w:t>1</w:t>
            </w:r>
          </w:p>
        </w:tc>
        <w:tc>
          <w:tcPr>
            <w:tcW w:w="4365" w:type="dxa"/>
            <w:vAlign w:val="center"/>
          </w:tcPr>
          <w:p w14:paraId="52BFE969">
            <w:pPr>
              <w:spacing w:line="240" w:lineRule="auto"/>
              <w:jc w:val="center"/>
            </w:pPr>
            <w:r>
              <w:rPr>
                <w:rFonts w:hint="eastAsia"/>
              </w:rPr>
              <w:t>数码摄像头</w:t>
            </w:r>
          </w:p>
        </w:tc>
        <w:tc>
          <w:tcPr>
            <w:tcW w:w="2235" w:type="dxa"/>
            <w:vAlign w:val="center"/>
          </w:tcPr>
          <w:p w14:paraId="276A525D">
            <w:pPr>
              <w:spacing w:line="240" w:lineRule="auto"/>
              <w:jc w:val="center"/>
            </w:pPr>
            <w:r>
              <w:rPr>
                <w:rFonts w:hint="eastAsia"/>
              </w:rPr>
              <w:t>1</w:t>
            </w:r>
          </w:p>
        </w:tc>
      </w:tr>
      <w:tr w14:paraId="22C6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696" w:type="dxa"/>
            <w:shd w:val="clear" w:color="auto" w:fill="auto"/>
            <w:vAlign w:val="center"/>
          </w:tcPr>
          <w:p w14:paraId="27F8575E">
            <w:pPr>
              <w:spacing w:line="240" w:lineRule="auto"/>
              <w:jc w:val="center"/>
              <w:rPr>
                <w:rFonts w:ascii="Calibri" w:hAnsi="Calibri" w:eastAsia="宋体" w:cs="Times New Roman"/>
                <w:kern w:val="2"/>
                <w:sz w:val="21"/>
                <w:szCs w:val="24"/>
                <w:lang w:val="en-US" w:eastAsia="zh-CN" w:bidi="ar-SA"/>
              </w:rPr>
            </w:pPr>
            <w:r>
              <w:rPr>
                <w:rFonts w:hint="eastAsia"/>
              </w:rPr>
              <w:t>1</w:t>
            </w:r>
            <w:r>
              <w:t>2</w:t>
            </w:r>
          </w:p>
        </w:tc>
        <w:tc>
          <w:tcPr>
            <w:tcW w:w="4365" w:type="dxa"/>
            <w:vAlign w:val="center"/>
          </w:tcPr>
          <w:p w14:paraId="7D3C74A8">
            <w:pPr>
              <w:spacing w:line="240" w:lineRule="auto"/>
              <w:jc w:val="center"/>
            </w:pPr>
            <w:r>
              <w:rPr>
                <w:rFonts w:hint="eastAsia"/>
              </w:rPr>
              <w:t>电源线一根</w:t>
            </w:r>
          </w:p>
        </w:tc>
        <w:tc>
          <w:tcPr>
            <w:tcW w:w="2235" w:type="dxa"/>
            <w:vAlign w:val="center"/>
          </w:tcPr>
          <w:p w14:paraId="13544420">
            <w:pPr>
              <w:spacing w:line="240" w:lineRule="auto"/>
              <w:jc w:val="center"/>
            </w:pPr>
            <w:r>
              <w:rPr>
                <w:rFonts w:hint="eastAsia"/>
              </w:rPr>
              <w:t>1</w:t>
            </w:r>
          </w:p>
        </w:tc>
      </w:tr>
      <w:tr w14:paraId="4C9F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696" w:type="dxa"/>
            <w:shd w:val="clear" w:color="auto" w:fill="auto"/>
            <w:vAlign w:val="center"/>
          </w:tcPr>
          <w:p w14:paraId="5399CD76">
            <w:pPr>
              <w:spacing w:line="240" w:lineRule="auto"/>
              <w:jc w:val="center"/>
              <w:rPr>
                <w:rFonts w:hint="default" w:eastAsia="宋体"/>
                <w:lang w:val="en-US" w:eastAsia="zh-CN"/>
              </w:rPr>
            </w:pPr>
            <w:r>
              <w:rPr>
                <w:rFonts w:hint="eastAsia"/>
                <w:lang w:val="en-US" w:eastAsia="zh-CN"/>
              </w:rPr>
              <w:t>13</w:t>
            </w:r>
          </w:p>
        </w:tc>
        <w:tc>
          <w:tcPr>
            <w:tcW w:w="4365" w:type="dxa"/>
            <w:shd w:val="clear" w:color="auto" w:fill="auto"/>
            <w:vAlign w:val="center"/>
          </w:tcPr>
          <w:p w14:paraId="0675C5DD">
            <w:pPr>
              <w:jc w:val="center"/>
              <w:rPr>
                <w:rFonts w:hint="eastAsia" w:ascii="Calibri" w:hAnsi="Calibri" w:eastAsia="宋体" w:cs="Times New Roman"/>
                <w:kern w:val="2"/>
                <w:sz w:val="24"/>
                <w:szCs w:val="24"/>
                <w:lang w:val="en-US" w:eastAsia="zh-CN" w:bidi="ar-SA"/>
              </w:rPr>
            </w:pPr>
            <w:r>
              <w:rPr>
                <w:rFonts w:hint="eastAsia"/>
                <w:sz w:val="24"/>
              </w:rPr>
              <w:t>防尘罩</w:t>
            </w:r>
          </w:p>
        </w:tc>
        <w:tc>
          <w:tcPr>
            <w:tcW w:w="2235" w:type="dxa"/>
            <w:shd w:val="clear" w:color="auto" w:fill="auto"/>
            <w:vAlign w:val="center"/>
          </w:tcPr>
          <w:p w14:paraId="5228D1CC">
            <w:pPr>
              <w:jc w:val="center"/>
              <w:rPr>
                <w:rFonts w:hint="eastAsia" w:ascii="Calibri" w:hAnsi="Calibri" w:eastAsia="宋体" w:cs="Times New Roman"/>
                <w:kern w:val="2"/>
                <w:sz w:val="24"/>
                <w:szCs w:val="24"/>
                <w:lang w:val="en-US" w:eastAsia="zh-CN" w:bidi="ar-SA"/>
              </w:rPr>
            </w:pPr>
            <w:r>
              <w:rPr>
                <w:rFonts w:hint="eastAsia"/>
                <w:sz w:val="24"/>
              </w:rPr>
              <w:t>1</w:t>
            </w:r>
          </w:p>
        </w:tc>
      </w:tr>
      <w:tr w14:paraId="12E7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696" w:type="dxa"/>
            <w:shd w:val="clear" w:color="auto" w:fill="auto"/>
            <w:vAlign w:val="center"/>
          </w:tcPr>
          <w:p w14:paraId="0040EF93">
            <w:pPr>
              <w:spacing w:line="240" w:lineRule="auto"/>
              <w:jc w:val="center"/>
              <w:rPr>
                <w:rFonts w:hint="default" w:eastAsia="宋体"/>
                <w:lang w:val="en-US" w:eastAsia="zh-CN"/>
              </w:rPr>
            </w:pPr>
            <w:r>
              <w:rPr>
                <w:rFonts w:hint="eastAsia"/>
                <w:lang w:val="en-US" w:eastAsia="zh-CN"/>
              </w:rPr>
              <w:t>14</w:t>
            </w:r>
          </w:p>
        </w:tc>
        <w:tc>
          <w:tcPr>
            <w:tcW w:w="4365" w:type="dxa"/>
            <w:shd w:val="clear" w:color="auto" w:fill="auto"/>
            <w:vAlign w:val="center"/>
          </w:tcPr>
          <w:p w14:paraId="14F5CC46">
            <w:pPr>
              <w:jc w:val="center"/>
              <w:rPr>
                <w:rFonts w:hint="eastAsia" w:ascii="Calibri" w:hAnsi="Calibri" w:eastAsia="宋体" w:cs="Times New Roman"/>
                <w:kern w:val="2"/>
                <w:sz w:val="24"/>
                <w:szCs w:val="24"/>
                <w:lang w:val="en-US" w:eastAsia="zh-CN" w:bidi="ar-SA"/>
              </w:rPr>
            </w:pPr>
            <w:r>
              <w:rPr>
                <w:rFonts w:hint="eastAsia"/>
                <w:sz w:val="24"/>
              </w:rPr>
              <w:t>成像接口</w:t>
            </w:r>
          </w:p>
        </w:tc>
        <w:tc>
          <w:tcPr>
            <w:tcW w:w="2235" w:type="dxa"/>
            <w:shd w:val="clear" w:color="auto" w:fill="auto"/>
            <w:vAlign w:val="center"/>
          </w:tcPr>
          <w:p w14:paraId="084155EE">
            <w:pPr>
              <w:jc w:val="center"/>
              <w:rPr>
                <w:rFonts w:hint="eastAsia" w:ascii="Calibri" w:hAnsi="Calibri" w:eastAsia="宋体" w:cs="Times New Roman"/>
                <w:kern w:val="2"/>
                <w:sz w:val="24"/>
                <w:szCs w:val="24"/>
                <w:lang w:val="en-US" w:eastAsia="zh-CN" w:bidi="ar-SA"/>
              </w:rPr>
            </w:pPr>
            <w:r>
              <w:rPr>
                <w:rFonts w:hint="eastAsia"/>
                <w:sz w:val="24"/>
              </w:rPr>
              <w:t>1</w:t>
            </w:r>
          </w:p>
        </w:tc>
      </w:tr>
      <w:tr w14:paraId="366A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696" w:type="dxa"/>
            <w:shd w:val="clear" w:color="auto" w:fill="auto"/>
            <w:vAlign w:val="center"/>
          </w:tcPr>
          <w:p w14:paraId="71C068E7">
            <w:pPr>
              <w:spacing w:line="240" w:lineRule="auto"/>
              <w:jc w:val="center"/>
              <w:rPr>
                <w:rFonts w:hint="eastAsia" w:eastAsia="宋体"/>
                <w:lang w:val="en-US" w:eastAsia="zh-CN"/>
              </w:rPr>
            </w:pPr>
            <w:r>
              <w:rPr>
                <w:rFonts w:hint="eastAsia"/>
                <w:lang w:val="en-US" w:eastAsia="zh-CN"/>
              </w:rPr>
              <w:t>15</w:t>
            </w:r>
          </w:p>
        </w:tc>
        <w:tc>
          <w:tcPr>
            <w:tcW w:w="4365" w:type="dxa"/>
            <w:shd w:val="clear" w:color="auto" w:fill="auto"/>
            <w:vAlign w:val="center"/>
          </w:tcPr>
          <w:p w14:paraId="7397F3FF">
            <w:pPr>
              <w:jc w:val="center"/>
              <w:rPr>
                <w:rFonts w:hint="eastAsia" w:ascii="Calibri" w:hAnsi="Calibri" w:eastAsia="宋体" w:cs="Times New Roman"/>
                <w:kern w:val="2"/>
                <w:sz w:val="24"/>
                <w:szCs w:val="24"/>
                <w:lang w:val="en-US" w:eastAsia="zh-CN" w:bidi="ar-SA"/>
              </w:rPr>
            </w:pPr>
            <w:r>
              <w:rPr>
                <w:rFonts w:hint="eastAsia"/>
                <w:sz w:val="24"/>
              </w:rPr>
              <w:t>样品夹</w:t>
            </w:r>
          </w:p>
        </w:tc>
        <w:tc>
          <w:tcPr>
            <w:tcW w:w="2235" w:type="dxa"/>
            <w:shd w:val="clear" w:color="auto" w:fill="auto"/>
            <w:vAlign w:val="center"/>
          </w:tcPr>
          <w:p w14:paraId="44217E45">
            <w:pPr>
              <w:jc w:val="center"/>
              <w:rPr>
                <w:rFonts w:hint="eastAsia" w:ascii="Calibri" w:hAnsi="Calibri" w:eastAsia="宋体" w:cs="Times New Roman"/>
                <w:kern w:val="2"/>
                <w:sz w:val="24"/>
                <w:szCs w:val="24"/>
                <w:lang w:val="en-US" w:eastAsia="zh-CN" w:bidi="ar-SA"/>
              </w:rPr>
            </w:pPr>
            <w:r>
              <w:rPr>
                <w:rFonts w:hint="eastAsia"/>
                <w:sz w:val="24"/>
              </w:rPr>
              <w:t>1</w:t>
            </w:r>
          </w:p>
        </w:tc>
      </w:tr>
    </w:tbl>
    <w:p w14:paraId="7378ABBF">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p>
    <w:p w14:paraId="6B090AD9">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24D930C">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3AB938B2">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474AD72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78AFEA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0F85EA86">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78CDDF2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 原位杂交仪 1台</w:t>
      </w:r>
    </w:p>
    <w:p w14:paraId="1B0567F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 电源电压：AC 220V或AC 110V±5</w:t>
      </w:r>
    </w:p>
    <w:p w14:paraId="5692956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 频率：50H或60Hz±5</w:t>
      </w:r>
    </w:p>
    <w:p w14:paraId="2F77D5E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 最大样本量：1-13片/次</w:t>
      </w:r>
    </w:p>
    <w:p w14:paraId="61F3C15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 整机重量：≤7Kg</w:t>
      </w:r>
    </w:p>
    <w:p w14:paraId="42A994E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 外形尺寸：480mm(L)*245mm(W)*145mm（H）±5</w:t>
      </w:r>
    </w:p>
    <w:p w14:paraId="36C5F91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6. 环境温度：5 ℃～35 ℃ </w:t>
      </w:r>
    </w:p>
    <w:p w14:paraId="3CB2536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 相对湿度：20%～80%</w:t>
      </w:r>
    </w:p>
    <w:p w14:paraId="7375AE2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 温控范围：室温+5℃-99℃</w:t>
      </w:r>
    </w:p>
    <w:p w14:paraId="0957D09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 温度设置范围：35℃-99℃</w:t>
      </w:r>
    </w:p>
    <w:p w14:paraId="7A9960E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 温差≤±1℃</w:t>
      </w:r>
    </w:p>
    <w:p w14:paraId="249FACF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10.升降温时间≤2min(37℃升温到95℃)</w:t>
      </w:r>
    </w:p>
    <w:p w14:paraId="18F4ECF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 xml:space="preserve">          ≤6min（从95℃降温到45℃）</w:t>
      </w:r>
    </w:p>
    <w:p w14:paraId="7813404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11.操作模式：变形、杂交和多点控制模式</w:t>
      </w:r>
    </w:p>
    <w:p w14:paraId="503BB56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12、功能模块部分：</w:t>
      </w:r>
    </w:p>
    <w:p w14:paraId="0E814A1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▲12.1.显示控制：全中文（支持多语言）触摸屏</w:t>
      </w:r>
    </w:p>
    <w:p w14:paraId="36C83A4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12.2.实时监测：自动检测参数是否准确，实时显示进程</w:t>
      </w:r>
    </w:p>
    <w:p w14:paraId="4EE595D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12.3.精准温控：温度控制不受玻片数量影响，保证温度均一性</w:t>
      </w:r>
    </w:p>
    <w:p w14:paraId="282A275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12.4.软件功能强：可自定义程序≥120种，满足实验需求</w:t>
      </w:r>
    </w:p>
    <w:p w14:paraId="31D7BD1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13、程序操作：</w:t>
      </w:r>
    </w:p>
    <w:p w14:paraId="3162F5E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13.1.全中文（支持多语言）触摸屏，操作简便，一键完成，结果准确</w:t>
      </w:r>
    </w:p>
    <w:p w14:paraId="4E615B1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13.2.实时监测，实验过程实时显示，包括参数设定提醒，程序提醒等</w:t>
      </w:r>
    </w:p>
    <w:p w14:paraId="596E443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13.3.精准温控装置，保持实验温度人均一性，不受玻片数量影响</w:t>
      </w:r>
    </w:p>
    <w:p w14:paraId="410E17D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13.4.≥120种自定义工作程序，满足实验需求</w:t>
      </w:r>
    </w:p>
    <w:p w14:paraId="7A67146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13.5.≥3种操作模式：变性/杂交/多点控制等</w:t>
      </w:r>
    </w:p>
    <w:p w14:paraId="1CE82AA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13.6.玻片卡槽在位设计，可以单手操作精准放置玻片。</w:t>
      </w:r>
    </w:p>
    <w:p w14:paraId="7EAE047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13.7.采用先进技术，保证温度升降迅速稳定，</w:t>
      </w:r>
    </w:p>
    <w:p w14:paraId="77A5EA7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13.8.自动检测功能，开机时自动检测设备，保证实验顺利进行。</w:t>
      </w:r>
    </w:p>
    <w:p w14:paraId="16B6F4EA">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仿宋" w:hAnsi="仿宋" w:eastAsia="仿宋" w:cs="仿宋"/>
          <w:sz w:val="24"/>
          <w:szCs w:val="24"/>
        </w:rPr>
        <w:t>★</w:t>
      </w:r>
      <w:r>
        <w:rPr>
          <w:rFonts w:hint="eastAsia" w:asciiTheme="minorEastAsia" w:hAnsiTheme="minorEastAsia" w:eastAsiaTheme="minorEastAsia" w:cstheme="minorEastAsia"/>
          <w:b w:val="0"/>
          <w:bCs/>
          <w:color w:val="auto"/>
          <w:kern w:val="0"/>
          <w:sz w:val="24"/>
          <w:szCs w:val="24"/>
          <w:lang w:val="en-US" w:eastAsia="zh-CN" w:bidi="ar-SA"/>
        </w:rPr>
        <w:t>14、原位杂交仪专机耗材不高于750元/人份。</w:t>
      </w:r>
    </w:p>
    <w:p w14:paraId="57423258">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1"/>
        <w:tblpPr w:leftFromText="180" w:rightFromText="180" w:vertAnchor="text" w:horzAnchor="page" w:tblpX="1792" w:tblpY="49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3323"/>
        <w:gridCol w:w="2131"/>
        <w:gridCol w:w="2131"/>
      </w:tblGrid>
      <w:tr w14:paraId="7A34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Align w:val="center"/>
          </w:tcPr>
          <w:p w14:paraId="3A26D897">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序号</w:t>
            </w:r>
          </w:p>
        </w:tc>
        <w:tc>
          <w:tcPr>
            <w:tcW w:w="3323" w:type="dxa"/>
            <w:vAlign w:val="center"/>
          </w:tcPr>
          <w:p w14:paraId="1A272092">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名称</w:t>
            </w:r>
          </w:p>
        </w:tc>
        <w:tc>
          <w:tcPr>
            <w:tcW w:w="2131" w:type="dxa"/>
            <w:vAlign w:val="center"/>
          </w:tcPr>
          <w:p w14:paraId="7AD6551C">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数量</w:t>
            </w:r>
          </w:p>
        </w:tc>
        <w:tc>
          <w:tcPr>
            <w:tcW w:w="2131" w:type="dxa"/>
            <w:vAlign w:val="center"/>
          </w:tcPr>
          <w:p w14:paraId="6072049C">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备注</w:t>
            </w:r>
          </w:p>
        </w:tc>
      </w:tr>
      <w:tr w14:paraId="0E38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Align w:val="center"/>
          </w:tcPr>
          <w:p w14:paraId="46530941">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1</w:t>
            </w:r>
          </w:p>
        </w:tc>
        <w:tc>
          <w:tcPr>
            <w:tcW w:w="3323" w:type="dxa"/>
            <w:vAlign w:val="center"/>
          </w:tcPr>
          <w:p w14:paraId="4CC030F4">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原位杂交仪主机</w:t>
            </w:r>
          </w:p>
        </w:tc>
        <w:tc>
          <w:tcPr>
            <w:tcW w:w="2131" w:type="dxa"/>
            <w:vAlign w:val="center"/>
          </w:tcPr>
          <w:p w14:paraId="1A9C626D">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1台</w:t>
            </w:r>
          </w:p>
        </w:tc>
        <w:tc>
          <w:tcPr>
            <w:tcW w:w="2131" w:type="dxa"/>
            <w:vAlign w:val="center"/>
          </w:tcPr>
          <w:p w14:paraId="3D548D18">
            <w:pPr>
              <w:spacing w:line="240" w:lineRule="auto"/>
              <w:jc w:val="center"/>
              <w:rPr>
                <w:rFonts w:hint="eastAsia"/>
                <w:b w:val="0"/>
                <w:bCs w:val="0"/>
                <w:color w:val="auto"/>
                <w:sz w:val="24"/>
                <w:vertAlign w:val="baseline"/>
                <w:lang w:val="en-US" w:eastAsia="zh-CN"/>
              </w:rPr>
            </w:pPr>
          </w:p>
        </w:tc>
      </w:tr>
      <w:tr w14:paraId="201F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Align w:val="center"/>
          </w:tcPr>
          <w:p w14:paraId="7A2B23AC">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2</w:t>
            </w:r>
          </w:p>
        </w:tc>
        <w:tc>
          <w:tcPr>
            <w:tcW w:w="3323" w:type="dxa"/>
            <w:vAlign w:val="center"/>
          </w:tcPr>
          <w:p w14:paraId="49873EE8">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电源线</w:t>
            </w:r>
          </w:p>
        </w:tc>
        <w:tc>
          <w:tcPr>
            <w:tcW w:w="2131" w:type="dxa"/>
            <w:vAlign w:val="center"/>
          </w:tcPr>
          <w:p w14:paraId="1EA0D0EA">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1根</w:t>
            </w:r>
          </w:p>
        </w:tc>
        <w:tc>
          <w:tcPr>
            <w:tcW w:w="2131" w:type="dxa"/>
            <w:vAlign w:val="center"/>
          </w:tcPr>
          <w:p w14:paraId="7B9C985B">
            <w:pPr>
              <w:spacing w:line="240" w:lineRule="auto"/>
              <w:jc w:val="center"/>
              <w:rPr>
                <w:rFonts w:hint="eastAsia"/>
                <w:b w:val="0"/>
                <w:bCs w:val="0"/>
                <w:color w:val="auto"/>
                <w:sz w:val="24"/>
                <w:vertAlign w:val="baseline"/>
                <w:lang w:val="en-US" w:eastAsia="zh-CN"/>
              </w:rPr>
            </w:pPr>
          </w:p>
        </w:tc>
      </w:tr>
      <w:tr w14:paraId="1A1A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Align w:val="center"/>
          </w:tcPr>
          <w:p w14:paraId="11832C5A">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3</w:t>
            </w:r>
          </w:p>
        </w:tc>
        <w:tc>
          <w:tcPr>
            <w:tcW w:w="3323" w:type="dxa"/>
            <w:vAlign w:val="center"/>
          </w:tcPr>
          <w:p w14:paraId="04186BFA">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温度控制卡</w:t>
            </w:r>
          </w:p>
        </w:tc>
        <w:tc>
          <w:tcPr>
            <w:tcW w:w="2131" w:type="dxa"/>
            <w:vAlign w:val="center"/>
          </w:tcPr>
          <w:p w14:paraId="1AC1416A">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2对</w:t>
            </w:r>
          </w:p>
        </w:tc>
        <w:tc>
          <w:tcPr>
            <w:tcW w:w="2131" w:type="dxa"/>
            <w:vAlign w:val="center"/>
          </w:tcPr>
          <w:p w14:paraId="204199E4">
            <w:pPr>
              <w:spacing w:line="240" w:lineRule="auto"/>
              <w:jc w:val="center"/>
              <w:rPr>
                <w:rFonts w:hint="eastAsia"/>
                <w:b w:val="0"/>
                <w:bCs w:val="0"/>
                <w:color w:val="auto"/>
                <w:sz w:val="24"/>
                <w:vertAlign w:val="baseline"/>
                <w:lang w:val="en-US" w:eastAsia="zh-CN"/>
              </w:rPr>
            </w:pPr>
            <w:r>
              <w:rPr>
                <w:rFonts w:hint="eastAsia"/>
                <w:b w:val="0"/>
                <w:bCs w:val="0"/>
                <w:color w:val="auto"/>
                <w:sz w:val="24"/>
                <w:vertAlign w:val="baseline"/>
                <w:lang w:val="en-US" w:eastAsia="zh-CN"/>
              </w:rPr>
              <w:t>其中一对已安装在机器上</w:t>
            </w:r>
          </w:p>
        </w:tc>
      </w:tr>
      <w:tr w14:paraId="159C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Align w:val="center"/>
          </w:tcPr>
          <w:p w14:paraId="48541B39">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4</w:t>
            </w:r>
          </w:p>
        </w:tc>
        <w:tc>
          <w:tcPr>
            <w:tcW w:w="3323" w:type="dxa"/>
            <w:vAlign w:val="center"/>
          </w:tcPr>
          <w:p w14:paraId="04BC7F72">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保险管</w:t>
            </w:r>
          </w:p>
        </w:tc>
        <w:tc>
          <w:tcPr>
            <w:tcW w:w="2131" w:type="dxa"/>
            <w:vAlign w:val="center"/>
          </w:tcPr>
          <w:p w14:paraId="1D37C438">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1根</w:t>
            </w:r>
          </w:p>
        </w:tc>
        <w:tc>
          <w:tcPr>
            <w:tcW w:w="2131" w:type="dxa"/>
            <w:vAlign w:val="center"/>
          </w:tcPr>
          <w:p w14:paraId="62592055">
            <w:pPr>
              <w:spacing w:line="240" w:lineRule="auto"/>
              <w:jc w:val="center"/>
              <w:rPr>
                <w:rFonts w:hint="eastAsia"/>
                <w:b w:val="0"/>
                <w:bCs w:val="0"/>
                <w:color w:val="auto"/>
                <w:sz w:val="24"/>
                <w:vertAlign w:val="baseline"/>
                <w:lang w:val="en-US" w:eastAsia="zh-CN"/>
              </w:rPr>
            </w:pPr>
          </w:p>
        </w:tc>
      </w:tr>
      <w:tr w14:paraId="1DF9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Align w:val="center"/>
          </w:tcPr>
          <w:p w14:paraId="66332C74">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5</w:t>
            </w:r>
          </w:p>
        </w:tc>
        <w:tc>
          <w:tcPr>
            <w:tcW w:w="3323" w:type="dxa"/>
            <w:shd w:val="clear" w:color="auto" w:fill="auto"/>
            <w:vAlign w:val="center"/>
          </w:tcPr>
          <w:p w14:paraId="6C46A81D">
            <w:pPr>
              <w:spacing w:beforeLines="0" w:afterLines="0"/>
              <w:jc w:val="center"/>
              <w:rPr>
                <w:rFonts w:hint="eastAsia" w:ascii="宋体" w:hAnsi="宋体" w:eastAsia="宋体" w:cs="Times New Roman"/>
                <w:b w:val="0"/>
                <w:bCs w:val="0"/>
                <w:color w:val="000000"/>
                <w:kern w:val="2"/>
                <w:sz w:val="24"/>
                <w:szCs w:val="24"/>
                <w:lang w:val="en-US" w:eastAsia="zh-CN" w:bidi="ar-SA"/>
              </w:rPr>
            </w:pPr>
            <w:r>
              <w:rPr>
                <w:rFonts w:hint="eastAsia" w:ascii="宋体" w:hAnsi="宋体"/>
                <w:b w:val="0"/>
                <w:bCs w:val="0"/>
                <w:color w:val="000000"/>
                <w:sz w:val="24"/>
                <w:szCs w:val="24"/>
              </w:rPr>
              <w:t>玻璃染色缸</w:t>
            </w:r>
          </w:p>
        </w:tc>
        <w:tc>
          <w:tcPr>
            <w:tcW w:w="2131" w:type="dxa"/>
            <w:shd w:val="clear" w:color="auto" w:fill="auto"/>
            <w:vAlign w:val="center"/>
          </w:tcPr>
          <w:p w14:paraId="1D2CCD5E">
            <w:pPr>
              <w:spacing w:beforeLines="0" w:afterLines="0"/>
              <w:jc w:val="center"/>
              <w:rPr>
                <w:rFonts w:hint="eastAsia" w:ascii="宋体" w:hAnsi="宋体" w:eastAsia="宋体" w:cs="Times New Roman"/>
                <w:b w:val="0"/>
                <w:bCs w:val="0"/>
                <w:color w:val="000000"/>
                <w:kern w:val="2"/>
                <w:sz w:val="24"/>
                <w:szCs w:val="24"/>
                <w:lang w:val="en-US" w:eastAsia="zh-CN" w:bidi="ar-SA"/>
              </w:rPr>
            </w:pPr>
            <w:r>
              <w:rPr>
                <w:rFonts w:hint="eastAsia" w:ascii="宋体" w:hAnsi="宋体"/>
                <w:b w:val="0"/>
                <w:bCs w:val="0"/>
                <w:color w:val="000000"/>
                <w:sz w:val="24"/>
                <w:szCs w:val="24"/>
              </w:rPr>
              <w:t>12个</w:t>
            </w:r>
          </w:p>
        </w:tc>
        <w:tc>
          <w:tcPr>
            <w:tcW w:w="2131" w:type="dxa"/>
            <w:vAlign w:val="center"/>
          </w:tcPr>
          <w:p w14:paraId="4E8EB33C">
            <w:pPr>
              <w:spacing w:line="240" w:lineRule="auto"/>
              <w:jc w:val="center"/>
              <w:rPr>
                <w:rFonts w:hint="eastAsia"/>
                <w:b w:val="0"/>
                <w:bCs w:val="0"/>
                <w:color w:val="auto"/>
                <w:sz w:val="24"/>
                <w:vertAlign w:val="baseline"/>
                <w:lang w:val="en-US" w:eastAsia="zh-CN"/>
              </w:rPr>
            </w:pPr>
            <w:r>
              <w:rPr>
                <w:rFonts w:hint="eastAsia" w:ascii="宋体" w:hAnsi="宋体"/>
                <w:b w:val="0"/>
                <w:bCs w:val="0"/>
                <w:color w:val="000000"/>
                <w:sz w:val="24"/>
                <w:szCs w:val="24"/>
              </w:rPr>
              <w:t>5片/个</w:t>
            </w:r>
          </w:p>
        </w:tc>
      </w:tr>
      <w:tr w14:paraId="0B63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Align w:val="center"/>
          </w:tcPr>
          <w:p w14:paraId="39727614">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6</w:t>
            </w:r>
          </w:p>
        </w:tc>
        <w:tc>
          <w:tcPr>
            <w:tcW w:w="3323" w:type="dxa"/>
            <w:shd w:val="clear" w:color="auto" w:fill="auto"/>
            <w:vAlign w:val="center"/>
          </w:tcPr>
          <w:p w14:paraId="6FD81CA1">
            <w:pPr>
              <w:spacing w:beforeLines="0" w:afterLines="0"/>
              <w:jc w:val="center"/>
              <w:rPr>
                <w:rFonts w:hint="eastAsia" w:ascii="宋体" w:hAnsi="宋体" w:eastAsia="宋体" w:cs="Times New Roman"/>
                <w:b w:val="0"/>
                <w:bCs w:val="0"/>
                <w:color w:val="000000"/>
                <w:kern w:val="2"/>
                <w:sz w:val="24"/>
                <w:szCs w:val="24"/>
                <w:lang w:val="en-US" w:eastAsia="zh-CN" w:bidi="ar-SA"/>
              </w:rPr>
            </w:pPr>
            <w:r>
              <w:rPr>
                <w:rFonts w:hint="eastAsia" w:ascii="宋体" w:hAnsi="宋体"/>
                <w:b w:val="0"/>
                <w:bCs w:val="0"/>
                <w:color w:val="000000"/>
                <w:sz w:val="24"/>
                <w:szCs w:val="24"/>
              </w:rPr>
              <w:t>恒温水浴锅</w:t>
            </w:r>
          </w:p>
        </w:tc>
        <w:tc>
          <w:tcPr>
            <w:tcW w:w="2131" w:type="dxa"/>
            <w:shd w:val="clear" w:color="auto" w:fill="auto"/>
            <w:vAlign w:val="center"/>
          </w:tcPr>
          <w:p w14:paraId="0F9D93D3">
            <w:pPr>
              <w:spacing w:beforeLines="0" w:afterLines="0"/>
              <w:jc w:val="center"/>
              <w:rPr>
                <w:rFonts w:hint="default" w:ascii="宋体" w:hAnsi="宋体" w:eastAsia="宋体" w:cs="Times New Roman"/>
                <w:b w:val="0"/>
                <w:bCs w:val="0"/>
                <w:color w:val="000000"/>
                <w:kern w:val="2"/>
                <w:sz w:val="24"/>
                <w:szCs w:val="24"/>
                <w:lang w:val="en-US" w:eastAsia="zh-CN" w:bidi="ar-SA"/>
              </w:rPr>
            </w:pPr>
            <w:r>
              <w:rPr>
                <w:rFonts w:hint="eastAsia" w:ascii="宋体" w:hAnsi="宋体" w:cs="Times New Roman"/>
                <w:b w:val="0"/>
                <w:bCs w:val="0"/>
                <w:color w:val="000000"/>
                <w:kern w:val="2"/>
                <w:sz w:val="24"/>
                <w:szCs w:val="24"/>
                <w:lang w:val="en-US" w:eastAsia="zh-CN" w:bidi="ar-SA"/>
              </w:rPr>
              <w:t>1台</w:t>
            </w:r>
          </w:p>
        </w:tc>
        <w:tc>
          <w:tcPr>
            <w:tcW w:w="2131" w:type="dxa"/>
            <w:vAlign w:val="center"/>
          </w:tcPr>
          <w:p w14:paraId="0A831308">
            <w:pPr>
              <w:spacing w:line="240" w:lineRule="auto"/>
              <w:jc w:val="center"/>
              <w:rPr>
                <w:rFonts w:hint="eastAsia"/>
                <w:b w:val="0"/>
                <w:bCs w:val="0"/>
                <w:color w:val="auto"/>
                <w:sz w:val="24"/>
                <w:vertAlign w:val="baseline"/>
                <w:lang w:val="en-US" w:eastAsia="zh-CN"/>
              </w:rPr>
            </w:pPr>
          </w:p>
        </w:tc>
      </w:tr>
      <w:tr w14:paraId="1265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Align w:val="center"/>
          </w:tcPr>
          <w:p w14:paraId="5A1C7216">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7</w:t>
            </w:r>
          </w:p>
        </w:tc>
        <w:tc>
          <w:tcPr>
            <w:tcW w:w="3323" w:type="dxa"/>
            <w:shd w:val="clear" w:color="auto" w:fill="auto"/>
            <w:vAlign w:val="center"/>
          </w:tcPr>
          <w:p w14:paraId="2275ACDF">
            <w:pPr>
              <w:spacing w:beforeLines="0" w:afterLines="0"/>
              <w:jc w:val="center"/>
              <w:rPr>
                <w:rFonts w:hint="eastAsia" w:ascii="宋体" w:hAnsi="宋体" w:eastAsia="宋体" w:cs="Times New Roman"/>
                <w:b w:val="0"/>
                <w:bCs w:val="0"/>
                <w:color w:val="000000"/>
                <w:kern w:val="2"/>
                <w:sz w:val="24"/>
                <w:szCs w:val="24"/>
                <w:lang w:val="en-US" w:eastAsia="zh-CN" w:bidi="ar-SA"/>
              </w:rPr>
            </w:pPr>
            <w:r>
              <w:rPr>
                <w:rFonts w:hint="eastAsia" w:ascii="宋体" w:hAnsi="宋体"/>
                <w:b w:val="0"/>
                <w:bCs w:val="0"/>
                <w:color w:val="000000"/>
                <w:sz w:val="24"/>
                <w:szCs w:val="24"/>
              </w:rPr>
              <w:t>移液器</w:t>
            </w:r>
          </w:p>
        </w:tc>
        <w:tc>
          <w:tcPr>
            <w:tcW w:w="2131" w:type="dxa"/>
            <w:shd w:val="clear" w:color="auto" w:fill="auto"/>
            <w:vAlign w:val="center"/>
          </w:tcPr>
          <w:p w14:paraId="35856209">
            <w:pPr>
              <w:spacing w:beforeLines="0" w:afterLines="0"/>
              <w:jc w:val="center"/>
              <w:rPr>
                <w:rFonts w:hint="eastAsia" w:ascii="宋体" w:hAnsi="宋体" w:eastAsia="宋体" w:cs="Times New Roman"/>
                <w:b w:val="0"/>
                <w:bCs w:val="0"/>
                <w:color w:val="000000"/>
                <w:kern w:val="2"/>
                <w:sz w:val="24"/>
                <w:szCs w:val="24"/>
                <w:lang w:val="en-US" w:eastAsia="zh-CN" w:bidi="ar-SA"/>
              </w:rPr>
            </w:pPr>
            <w:r>
              <w:rPr>
                <w:rFonts w:hint="eastAsia" w:ascii="宋体" w:hAnsi="宋体"/>
                <w:b w:val="0"/>
                <w:bCs w:val="0"/>
                <w:color w:val="000000"/>
                <w:sz w:val="24"/>
                <w:szCs w:val="24"/>
                <w:lang w:val="en-US" w:eastAsia="zh-CN"/>
              </w:rPr>
              <w:t>2把</w:t>
            </w:r>
          </w:p>
        </w:tc>
        <w:tc>
          <w:tcPr>
            <w:tcW w:w="2131" w:type="dxa"/>
            <w:vAlign w:val="center"/>
          </w:tcPr>
          <w:p w14:paraId="3075D574">
            <w:pPr>
              <w:spacing w:line="240" w:lineRule="auto"/>
              <w:jc w:val="center"/>
              <w:rPr>
                <w:rFonts w:hint="default" w:eastAsia="宋体"/>
                <w:b w:val="0"/>
                <w:bCs w:val="0"/>
                <w:color w:val="auto"/>
                <w:sz w:val="24"/>
                <w:vertAlign w:val="baseline"/>
                <w:lang w:val="en-US" w:eastAsia="zh-CN"/>
              </w:rPr>
            </w:pPr>
            <w:r>
              <w:rPr>
                <w:rFonts w:hint="eastAsia" w:ascii="宋体" w:hAnsi="宋体"/>
                <w:b w:val="0"/>
                <w:bCs w:val="0"/>
                <w:color w:val="000000"/>
                <w:sz w:val="24"/>
                <w:szCs w:val="24"/>
              </w:rPr>
              <w:t>1ml/10ul</w:t>
            </w:r>
            <w:r>
              <w:rPr>
                <w:rFonts w:hint="eastAsia" w:ascii="宋体" w:hAnsi="宋体"/>
                <w:b w:val="0"/>
                <w:bCs w:val="0"/>
                <w:color w:val="000000"/>
                <w:sz w:val="24"/>
                <w:szCs w:val="24"/>
                <w:lang w:val="en-US" w:eastAsia="zh-CN"/>
              </w:rPr>
              <w:t>各一把</w:t>
            </w:r>
          </w:p>
        </w:tc>
      </w:tr>
      <w:tr w14:paraId="38B0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Align w:val="center"/>
          </w:tcPr>
          <w:p w14:paraId="685E9FF6">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8</w:t>
            </w:r>
          </w:p>
        </w:tc>
        <w:tc>
          <w:tcPr>
            <w:tcW w:w="3323" w:type="dxa"/>
            <w:shd w:val="clear" w:color="auto" w:fill="auto"/>
            <w:vAlign w:val="center"/>
          </w:tcPr>
          <w:p w14:paraId="7822F2E4">
            <w:pPr>
              <w:spacing w:beforeLines="0" w:afterLines="0"/>
              <w:jc w:val="center"/>
              <w:rPr>
                <w:rFonts w:hint="eastAsia" w:ascii="宋体" w:hAnsi="宋体" w:eastAsia="宋体" w:cs="Times New Roman"/>
                <w:b w:val="0"/>
                <w:bCs w:val="0"/>
                <w:color w:val="000000"/>
                <w:kern w:val="2"/>
                <w:sz w:val="24"/>
                <w:szCs w:val="24"/>
                <w:lang w:val="en-US" w:eastAsia="zh-CN" w:bidi="ar-SA"/>
              </w:rPr>
            </w:pPr>
            <w:r>
              <w:rPr>
                <w:rFonts w:hint="eastAsia" w:ascii="宋体" w:hAnsi="宋体"/>
                <w:b w:val="0"/>
                <w:bCs w:val="0"/>
                <w:color w:val="000000"/>
                <w:sz w:val="24"/>
                <w:szCs w:val="24"/>
              </w:rPr>
              <w:t>小型离心机</w:t>
            </w:r>
          </w:p>
        </w:tc>
        <w:tc>
          <w:tcPr>
            <w:tcW w:w="2131" w:type="dxa"/>
            <w:shd w:val="clear" w:color="auto" w:fill="auto"/>
            <w:vAlign w:val="center"/>
          </w:tcPr>
          <w:p w14:paraId="357F5DAB">
            <w:pPr>
              <w:spacing w:beforeLines="0" w:afterLines="0"/>
              <w:jc w:val="center"/>
              <w:rPr>
                <w:rFonts w:hint="default" w:ascii="宋体" w:hAnsi="宋体" w:eastAsia="宋体" w:cs="Times New Roman"/>
                <w:b w:val="0"/>
                <w:bCs w:val="0"/>
                <w:color w:val="000000"/>
                <w:kern w:val="2"/>
                <w:sz w:val="24"/>
                <w:szCs w:val="24"/>
                <w:lang w:val="en-US" w:eastAsia="zh-CN" w:bidi="ar-SA"/>
              </w:rPr>
            </w:pPr>
            <w:r>
              <w:rPr>
                <w:rFonts w:hint="eastAsia" w:ascii="宋体" w:hAnsi="宋体" w:cs="Times New Roman"/>
                <w:b w:val="0"/>
                <w:bCs w:val="0"/>
                <w:color w:val="000000"/>
                <w:kern w:val="2"/>
                <w:sz w:val="24"/>
                <w:szCs w:val="24"/>
                <w:lang w:val="en-US" w:eastAsia="zh-CN" w:bidi="ar-SA"/>
              </w:rPr>
              <w:t>1台</w:t>
            </w:r>
          </w:p>
        </w:tc>
        <w:tc>
          <w:tcPr>
            <w:tcW w:w="2131" w:type="dxa"/>
            <w:vAlign w:val="center"/>
          </w:tcPr>
          <w:p w14:paraId="750A69D1">
            <w:pPr>
              <w:spacing w:line="240" w:lineRule="auto"/>
              <w:jc w:val="center"/>
              <w:rPr>
                <w:rFonts w:hint="eastAsia"/>
                <w:b w:val="0"/>
                <w:bCs w:val="0"/>
                <w:color w:val="auto"/>
                <w:sz w:val="24"/>
                <w:vertAlign w:val="baseline"/>
                <w:lang w:val="en-US" w:eastAsia="zh-CN"/>
              </w:rPr>
            </w:pPr>
          </w:p>
        </w:tc>
      </w:tr>
      <w:tr w14:paraId="231E7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vAlign w:val="center"/>
          </w:tcPr>
          <w:p w14:paraId="55E22650">
            <w:pPr>
              <w:spacing w:line="240" w:lineRule="auto"/>
              <w:jc w:val="center"/>
              <w:rPr>
                <w:rFonts w:hint="default"/>
                <w:b w:val="0"/>
                <w:bCs w:val="0"/>
                <w:color w:val="auto"/>
                <w:sz w:val="24"/>
                <w:vertAlign w:val="baseline"/>
                <w:lang w:val="en-US" w:eastAsia="zh-CN"/>
              </w:rPr>
            </w:pPr>
            <w:r>
              <w:rPr>
                <w:rFonts w:hint="eastAsia"/>
                <w:b w:val="0"/>
                <w:bCs w:val="0"/>
                <w:color w:val="auto"/>
                <w:sz w:val="24"/>
                <w:vertAlign w:val="baseline"/>
                <w:lang w:val="en-US" w:eastAsia="zh-CN"/>
              </w:rPr>
              <w:t>9</w:t>
            </w:r>
          </w:p>
        </w:tc>
        <w:tc>
          <w:tcPr>
            <w:tcW w:w="3323" w:type="dxa"/>
            <w:shd w:val="clear" w:color="auto" w:fill="auto"/>
            <w:vAlign w:val="center"/>
          </w:tcPr>
          <w:p w14:paraId="669E1551">
            <w:pPr>
              <w:spacing w:beforeLines="0" w:afterLines="0"/>
              <w:jc w:val="center"/>
              <w:rPr>
                <w:rFonts w:hint="eastAsia" w:ascii="宋体" w:hAnsi="宋体" w:eastAsia="宋体" w:cs="Times New Roman"/>
                <w:b w:val="0"/>
                <w:bCs w:val="0"/>
                <w:color w:val="000000"/>
                <w:kern w:val="2"/>
                <w:sz w:val="24"/>
                <w:szCs w:val="24"/>
                <w:lang w:val="en-US" w:eastAsia="zh-CN" w:bidi="ar-SA"/>
              </w:rPr>
            </w:pPr>
            <w:r>
              <w:rPr>
                <w:rFonts w:hint="eastAsia" w:ascii="宋体" w:hAnsi="宋体"/>
                <w:b w:val="0"/>
                <w:bCs w:val="0"/>
                <w:color w:val="000000"/>
                <w:sz w:val="24"/>
                <w:szCs w:val="24"/>
              </w:rPr>
              <w:t>混悬仪</w:t>
            </w:r>
          </w:p>
        </w:tc>
        <w:tc>
          <w:tcPr>
            <w:tcW w:w="2131" w:type="dxa"/>
            <w:shd w:val="clear" w:color="auto" w:fill="auto"/>
            <w:vAlign w:val="center"/>
          </w:tcPr>
          <w:p w14:paraId="614ED3AB">
            <w:pPr>
              <w:spacing w:beforeLines="0" w:afterLines="0"/>
              <w:jc w:val="center"/>
              <w:rPr>
                <w:rFonts w:hint="default" w:ascii="宋体" w:hAnsi="宋体" w:eastAsia="宋体" w:cs="Times New Roman"/>
                <w:b w:val="0"/>
                <w:bCs w:val="0"/>
                <w:color w:val="000000"/>
                <w:kern w:val="2"/>
                <w:sz w:val="24"/>
                <w:szCs w:val="24"/>
                <w:lang w:val="en-US" w:eastAsia="zh-CN" w:bidi="ar-SA"/>
              </w:rPr>
            </w:pPr>
            <w:r>
              <w:rPr>
                <w:rFonts w:hint="eastAsia" w:ascii="宋体" w:hAnsi="宋体" w:cs="Times New Roman"/>
                <w:b w:val="0"/>
                <w:bCs w:val="0"/>
                <w:color w:val="000000"/>
                <w:kern w:val="2"/>
                <w:sz w:val="24"/>
                <w:szCs w:val="24"/>
                <w:lang w:val="en-US" w:eastAsia="zh-CN" w:bidi="ar-SA"/>
              </w:rPr>
              <w:t>1台</w:t>
            </w:r>
          </w:p>
        </w:tc>
        <w:tc>
          <w:tcPr>
            <w:tcW w:w="2131" w:type="dxa"/>
            <w:vAlign w:val="center"/>
          </w:tcPr>
          <w:p w14:paraId="044598DD">
            <w:pPr>
              <w:spacing w:line="240" w:lineRule="auto"/>
              <w:jc w:val="center"/>
              <w:rPr>
                <w:rFonts w:hint="eastAsia"/>
                <w:b w:val="0"/>
                <w:bCs w:val="0"/>
                <w:color w:val="auto"/>
                <w:sz w:val="24"/>
                <w:vertAlign w:val="baseline"/>
                <w:lang w:val="en-US" w:eastAsia="zh-CN"/>
              </w:rPr>
            </w:pPr>
          </w:p>
        </w:tc>
      </w:tr>
    </w:tbl>
    <w:p w14:paraId="4F445DC5">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4CC73125">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68B93F39">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62862DDA">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628B30E9">
      <w:pPr>
        <w:spacing w:line="360" w:lineRule="auto"/>
        <w:ind w:firstLine="482" w:firstLineChars="200"/>
        <w:rPr>
          <w:rFonts w:hint="default" w:asciiTheme="minorEastAsia" w:hAnsiTheme="minorEastAsia" w:eastAsiaTheme="minorEastAsia" w:cstheme="minorEastAsia"/>
          <w:b/>
          <w:bCs w:val="0"/>
          <w:color w:val="auto"/>
          <w:kern w:val="0"/>
          <w:sz w:val="24"/>
          <w:szCs w:val="24"/>
          <w:lang w:val="en-US" w:eastAsia="zh-CN" w:bidi="ar-SA"/>
        </w:rPr>
      </w:pPr>
    </w:p>
    <w:p w14:paraId="410D0A3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92DEE5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07C81A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2、交货时间：按合同约定的日期交货。</w:t>
      </w:r>
    </w:p>
    <w:p w14:paraId="2E0A21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3、交货地点：娄底市中心医院指定地点。</w:t>
      </w:r>
    </w:p>
    <w:p w14:paraId="2A649F9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4、付款方式：设备验收合格后，供应商将发票交到娄底市中心医院后按程序支付货款9</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%（按医院财务制度一般情况下4个月内支付、特殊情况下最多不超过6个月），甲方在设备</w:t>
      </w:r>
      <w:r>
        <w:rPr>
          <w:rFonts w:hint="eastAsia" w:ascii="宋体" w:hAnsi="宋体" w:cs="宋体"/>
          <w:color w:val="auto"/>
          <w:sz w:val="24"/>
          <w:szCs w:val="24"/>
          <w:lang w:val="en-US" w:eastAsia="zh-CN"/>
        </w:rPr>
        <w:t>质保期届满且</w:t>
      </w:r>
      <w:r>
        <w:rPr>
          <w:rFonts w:hint="eastAsia" w:ascii="宋体" w:hAnsi="宋体" w:eastAsia="宋体" w:cs="宋体"/>
          <w:color w:val="000000" w:themeColor="text1"/>
          <w:sz w:val="24"/>
          <w14:textFill>
            <w14:solidFill>
              <w14:schemeClr w14:val="tx1"/>
            </w14:solidFill>
          </w14:textFill>
        </w:rPr>
        <w:t>不存在需被扣除情形</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w:t>
      </w:r>
      <w:r>
        <w:rPr>
          <w:rFonts w:hint="eastAsia" w:ascii="宋体" w:hAnsi="宋体" w:cs="宋体"/>
          <w:color w:val="auto"/>
          <w:sz w:val="24"/>
          <w:szCs w:val="24"/>
          <w:lang w:val="en-US" w:eastAsia="zh-CN"/>
        </w:rPr>
        <w:t>10</w:t>
      </w:r>
      <w:r>
        <w:rPr>
          <w:rFonts w:hint="eastAsia" w:ascii="宋体" w:hAnsi="宋体" w:eastAsia="宋体" w:cs="宋体"/>
          <w:color w:val="auto"/>
          <w:sz w:val="24"/>
          <w:szCs w:val="24"/>
        </w:rPr>
        <w:t>%余款给乙方。</w:t>
      </w:r>
    </w:p>
    <w:p w14:paraId="7EBA2F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 xml:space="preserve">5、质保与售后：整机保修 </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520B5F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268CB9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★7、设备如涉及网络接口费用，由中标人承担，采购人不再出具任何费用。 </w:t>
      </w:r>
    </w:p>
    <w:p w14:paraId="112E10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p>
    <w:p w14:paraId="5FC00F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41211B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182DC2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7156F1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37197D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172558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227DD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99AB7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C82A0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200EC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54A479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1D388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161BE94F">
      <w:pPr>
        <w:keepNext w:val="0"/>
        <w:keepLines w:val="0"/>
        <w:pageBreakBefore w:val="0"/>
        <w:widowControl w:val="0"/>
        <w:kinsoku/>
        <w:wordWrap/>
        <w:overflowPunct/>
        <w:topLinePunct w:val="0"/>
        <w:autoSpaceDE/>
        <w:autoSpaceDN/>
        <w:bidi w:val="0"/>
        <w:adjustRightInd/>
        <w:snapToGrid/>
        <w:spacing w:line="520" w:lineRule="exact"/>
        <w:ind w:firstLine="6720" w:firstLineChars="2800"/>
        <w:textAlignment w:val="auto"/>
        <w:rPr>
          <w:rFonts w:hint="eastAsia" w:ascii="宋体" w:hAnsi="宋体" w:eastAsia="宋体" w:cs="宋体"/>
          <w:sz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sz w:val="24"/>
        </w:rPr>
        <w:t>合同编号：</w:t>
      </w:r>
    </w:p>
    <w:p w14:paraId="71D0156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3B85B619">
      <w:pPr>
        <w:spacing w:line="480" w:lineRule="exact"/>
        <w:rPr>
          <w:rFonts w:hint="eastAsia" w:ascii="宋体" w:hAnsi="宋体" w:eastAsia="宋体" w:cs="宋体"/>
          <w:b/>
          <w:bCs/>
          <w:sz w:val="24"/>
        </w:rPr>
      </w:pPr>
    </w:p>
    <w:p w14:paraId="7D826D67">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0947B1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7448013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36F89A8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68519D3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17ABB9B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7049BDEA">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4283EBB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12EB322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245C791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3E399D9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1B4C4E9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4E3E511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612C33B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免疫荧光显微镜（含成像软件及分析软件）+原位杂交仪</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免疫荧光显微镜（含成像软件及分析软件）+原位杂交仪</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0FC3E0BE">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6192869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2E40AD7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0"/>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72E6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7856D35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2EA0D6C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54823253">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4827F7F5">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6D83EF73">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121BD46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3982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shd w:val="clear" w:color="auto" w:fill="auto"/>
            <w:vAlign w:val="top"/>
          </w:tcPr>
          <w:p w14:paraId="0AED03A1">
            <w:pPr>
              <w:spacing w:beforeLines="0" w:afterLines="0" w:line="480" w:lineRule="exact"/>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szCs w:val="24"/>
              </w:rPr>
              <w:t>免疫荧光显微镜（含成像软件及分析软件）</w:t>
            </w:r>
          </w:p>
        </w:tc>
        <w:tc>
          <w:tcPr>
            <w:tcW w:w="1500" w:type="dxa"/>
            <w:vAlign w:val="center"/>
          </w:tcPr>
          <w:p w14:paraId="119E3E91">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2DC57ECF">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0967BF91">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497A2B33">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1</w:t>
            </w:r>
          </w:p>
        </w:tc>
        <w:tc>
          <w:tcPr>
            <w:tcW w:w="1388" w:type="dxa"/>
            <w:vAlign w:val="center"/>
          </w:tcPr>
          <w:p w14:paraId="5A9733E2">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0FDB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shd w:val="clear" w:color="auto" w:fill="auto"/>
            <w:vAlign w:val="top"/>
          </w:tcPr>
          <w:p w14:paraId="29097E56">
            <w:pPr>
              <w:spacing w:beforeLines="0" w:afterLines="0" w:line="480" w:lineRule="exact"/>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szCs w:val="24"/>
              </w:rPr>
              <w:t>原位杂交仪</w:t>
            </w:r>
          </w:p>
        </w:tc>
        <w:tc>
          <w:tcPr>
            <w:tcW w:w="1500" w:type="dxa"/>
            <w:vAlign w:val="center"/>
          </w:tcPr>
          <w:p w14:paraId="059ECE24">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3CA6223F">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0E598D49">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0F597701">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1</w:t>
            </w:r>
          </w:p>
        </w:tc>
        <w:tc>
          <w:tcPr>
            <w:tcW w:w="1388" w:type="dxa"/>
            <w:vAlign w:val="center"/>
          </w:tcPr>
          <w:p w14:paraId="7B05A920">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0C50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089174AA">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40DE6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w:t>
      </w:r>
    </w:p>
    <w:p w14:paraId="6B0F007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539C1A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75FD4D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4D73483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49D327B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4A4A3F7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36800E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356061A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411A808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.1.2 本合同约定价格为固定总价，不因物价、市场波动变更，约定价格包括且不限于设计费、材料费、人工费、安装费、包装费、运输费、装卸费、调试费、接口费、检测费、检验费、税费、保险费、售后服务费、附随服务费等在内所有费用。</w:t>
      </w:r>
    </w:p>
    <w:p w14:paraId="1164413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2EBD045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30D411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0"/>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1823001C">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A5E6C">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3C82FE2C">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1D9486C4">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78E94033">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297A1">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DC2D1">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6669AC5A">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68749C72">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D521">
            <w:pPr>
              <w:spacing w:beforeLines="0" w:afterLines="0"/>
              <w:jc w:val="both"/>
              <w:rPr>
                <w:rFonts w:hint="default" w:ascii="宋体" w:hAnsi="宋体" w:eastAsiaTheme="minorEastAsia" w:cstheme="minorBidi"/>
                <w:color w:val="000000"/>
                <w:kern w:val="2"/>
                <w:sz w:val="18"/>
                <w:szCs w:val="18"/>
                <w:lang w:val="en-US" w:eastAsia="zh-CN" w:bidi="ar-SA"/>
              </w:rPr>
            </w:pPr>
            <w:r>
              <w:rPr>
                <w:rFonts w:hint="eastAsia" w:ascii="宋体" w:hAnsi="宋体" w:cs="宋体"/>
                <w:color w:val="000000" w:themeColor="text1"/>
                <w:sz w:val="24"/>
                <w:lang w:val="en-US" w:eastAsia="zh-CN"/>
                <w14:textFill>
                  <w14:solidFill>
                    <w14:schemeClr w14:val="tx1"/>
                  </w14:solidFill>
                </w14:textFill>
              </w:rPr>
              <w:t>原位杂交仪专机专用耗材</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3A3C893B">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3C259181">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23F0">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2851">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0D99BB9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sz w:val="24"/>
          <w:u w:val="single"/>
          <w:lang w:val="en-US" w:eastAsia="zh-CN"/>
          <w14:textFill>
            <w14:solidFill>
              <w14:schemeClr w14:val="tx1"/>
            </w14:solidFill>
          </w14:textFill>
        </w:rPr>
        <w:t xml:space="preserve">原位杂交仪 </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2BE51903">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0E01ED5D">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5289436">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3DE98C4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26991AC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60FEFDA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16CE7D3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7929B75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0DA77C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6D0089B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87B614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097D9B1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501041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5F0FC00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2167C26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4EDF475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0F04827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2A9ED88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37C0880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2A57919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6328A95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798D624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5B41EC6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7192D76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7BD6A5D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517709E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7C9AFB2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55CA00D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6C41214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14:textFill>
            <w14:solidFill>
              <w14:schemeClr w14:val="tx1"/>
            </w14:solidFill>
          </w14:textFill>
        </w:rPr>
        <w:t>作为代表，跟踪、检查安装、调试现场。</w:t>
      </w:r>
    </w:p>
    <w:p w14:paraId="198E9D8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75D0A5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5733DB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135D0D58">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4EA13199">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62A38DB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5713315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7593B3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1548A078">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620E31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4C2A243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14529D6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53F1905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452891B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0CD2930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53D9B7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57B3F96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1AA0E8E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345F927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FA6998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5EAD769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4F3D88B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4665727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7897FB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6637164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05C1B0F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92BBFC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6673BA8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0B0F84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C3BB44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3EFFCA9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2A0204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23291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019E50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4A81268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2F52843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91185E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21D0B3A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10FC4E7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0E41B92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0C808C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朱振宇</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7248283@qq.com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w:t>
      </w:r>
    </w:p>
    <w:p w14:paraId="4AD3B80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4AE1BB2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3391DD3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8328FD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05C0C57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65B3BF9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1292E3B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0583D91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41F8062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4FC2E93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5CAD031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F99EAB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68920A42">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28E1C221">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CC748E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7D1DEB2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54FE53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6E28BA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83F585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01C27B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08DBD0D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046BE2B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716C67A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0A096A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011E571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2780639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F2E503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1BFCB9B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36D1F7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份，甲方执肆份、乙方执壹份，自双方签字并盖章后生效。</w:t>
      </w:r>
    </w:p>
    <w:p w14:paraId="420FE9AF">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3E45F5BA">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1160DC38">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4C903839">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2F5EEFF6">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212286B3">
      <w:pPr>
        <w:rPr>
          <w:rFonts w:hint="eastAsia" w:ascii="黑体" w:hAnsi="黑体" w:eastAsia="黑体" w:cs="黑体"/>
          <w:sz w:val="32"/>
          <w:szCs w:val="32"/>
          <w:lang w:val="en-US" w:eastAsia="zh-CN"/>
        </w:rPr>
      </w:pPr>
      <w:bookmarkStart w:id="5" w:name="_GoBack"/>
      <w:bookmarkEnd w:id="5"/>
      <w:r>
        <w:rPr>
          <w:rFonts w:hint="eastAsia" w:ascii="黑体" w:hAnsi="黑体" w:eastAsia="黑体" w:cs="黑体"/>
          <w:sz w:val="32"/>
          <w:szCs w:val="32"/>
          <w:lang w:val="en-US" w:eastAsia="zh-CN"/>
        </w:rPr>
        <w:br w:type="page"/>
      </w:r>
    </w:p>
    <w:p w14:paraId="74B5D8D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3B3F229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71A45D00">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418C8329">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0"/>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0EA25A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0E14E99C">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05A29BD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0ED45F0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117852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412CD0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3BEA03D7">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38429E02">
            <w:pPr>
              <w:jc w:val="center"/>
              <w:rPr>
                <w:rFonts w:hint="eastAsia" w:ascii="仿宋" w:hAnsi="仿宋" w:eastAsia="仿宋" w:cs="仿宋"/>
                <w:sz w:val="24"/>
                <w:szCs w:val="24"/>
              </w:rPr>
            </w:pPr>
            <w:r>
              <w:rPr>
                <w:rFonts w:hint="eastAsia" w:ascii="仿宋" w:hAnsi="仿宋" w:eastAsia="仿宋" w:cs="仿宋"/>
                <w:sz w:val="24"/>
                <w:szCs w:val="24"/>
              </w:rPr>
              <w:t>50%（设备45%+专机耗材5%）</w:t>
            </w:r>
          </w:p>
        </w:tc>
      </w:tr>
      <w:tr w14:paraId="5FE692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3013483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05036993">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314324F9">
            <w:pPr>
              <w:jc w:val="center"/>
              <w:rPr>
                <w:rFonts w:hint="eastAsia" w:ascii="仿宋" w:hAnsi="仿宋" w:eastAsia="仿宋" w:cs="仿宋"/>
                <w:sz w:val="24"/>
                <w:szCs w:val="24"/>
              </w:rPr>
            </w:pPr>
            <w:r>
              <w:rPr>
                <w:rFonts w:hint="eastAsia" w:ascii="仿宋" w:hAnsi="仿宋" w:eastAsia="仿宋" w:cs="仿宋"/>
                <w:sz w:val="24"/>
                <w:szCs w:val="24"/>
              </w:rPr>
              <w:t>40%</w:t>
            </w:r>
          </w:p>
        </w:tc>
      </w:tr>
      <w:tr w14:paraId="283CC3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3A99A67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F05707">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0779B7C0">
            <w:pPr>
              <w:jc w:val="center"/>
              <w:rPr>
                <w:rFonts w:hint="eastAsia" w:ascii="仿宋" w:hAnsi="仿宋" w:eastAsia="仿宋" w:cs="仿宋"/>
                <w:sz w:val="24"/>
                <w:szCs w:val="24"/>
              </w:rPr>
            </w:pPr>
            <w:r>
              <w:rPr>
                <w:rFonts w:hint="eastAsia" w:ascii="仿宋" w:hAnsi="仿宋" w:eastAsia="仿宋" w:cs="仿宋"/>
                <w:sz w:val="24"/>
                <w:szCs w:val="24"/>
              </w:rPr>
              <w:t>10%</w:t>
            </w:r>
          </w:p>
        </w:tc>
      </w:tr>
      <w:tr w14:paraId="744CD1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7E4687B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20694CF8">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FE72B7E">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2E5BAB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03302265">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256288D0">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5F43CEEF">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CB0A2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22A3588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6A284B07">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7A7F1D4">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1501B3C0">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设备价格权值占比为45%，专机专用耗材价格权值占比为5%；报价总分＝设备报价得分＋专机专用耗材报价得分。投标人的价格分统一按照以下公式计算：</w:t>
            </w:r>
          </w:p>
          <w:p w14:paraId="05FB6B98">
            <w:pPr>
              <w:jc w:val="left"/>
              <w:rPr>
                <w:rFonts w:hint="eastAsia" w:ascii="仿宋" w:hAnsi="仿宋" w:eastAsia="仿宋" w:cs="仿宋"/>
                <w:sz w:val="24"/>
                <w:szCs w:val="24"/>
              </w:rPr>
            </w:pPr>
            <w:r>
              <w:rPr>
                <w:rFonts w:hint="eastAsia" w:ascii="仿宋" w:hAnsi="仿宋" w:eastAsia="仿宋" w:cs="仿宋"/>
                <w:sz w:val="24"/>
                <w:szCs w:val="24"/>
              </w:rPr>
              <w:t>设备投标报价得分=（评标基准价/投标报价）×价格权值×100</w:t>
            </w:r>
          </w:p>
          <w:p w14:paraId="37E2DBA0">
            <w:pPr>
              <w:jc w:val="left"/>
              <w:rPr>
                <w:rFonts w:hint="eastAsia" w:ascii="仿宋" w:hAnsi="仿宋" w:eastAsia="仿宋" w:cs="仿宋"/>
                <w:sz w:val="24"/>
                <w:szCs w:val="24"/>
              </w:rPr>
            </w:pPr>
            <w:r>
              <w:rPr>
                <w:rFonts w:hint="eastAsia" w:ascii="仿宋" w:hAnsi="仿宋" w:eastAsia="仿宋" w:cs="仿宋"/>
                <w:sz w:val="24"/>
                <w:szCs w:val="24"/>
              </w:rPr>
              <w:t>专机专用耗材投标报价得分=（评标基准价/投标报价）×价格权值×100</w:t>
            </w:r>
          </w:p>
          <w:p w14:paraId="33A29A7D">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7E20A07">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3B5C4888">
      <w:pPr>
        <w:jc w:val="center"/>
        <w:rPr>
          <w:rFonts w:hint="eastAsia" w:ascii="仿宋" w:hAnsi="仿宋" w:eastAsia="仿宋" w:cs="仿宋"/>
          <w:sz w:val="24"/>
          <w:szCs w:val="24"/>
        </w:rPr>
      </w:pPr>
    </w:p>
    <w:p w14:paraId="7F5B6356">
      <w:pPr>
        <w:jc w:val="center"/>
        <w:rPr>
          <w:rFonts w:hint="eastAsia" w:ascii="仿宋" w:hAnsi="仿宋" w:eastAsia="仿宋" w:cs="仿宋"/>
          <w:sz w:val="24"/>
          <w:szCs w:val="24"/>
        </w:rPr>
      </w:pPr>
    </w:p>
    <w:p w14:paraId="1FF95089">
      <w:pPr>
        <w:jc w:val="center"/>
        <w:rPr>
          <w:rFonts w:hint="eastAsia" w:ascii="仿宋" w:hAnsi="仿宋" w:eastAsia="仿宋" w:cs="仿宋"/>
          <w:sz w:val="24"/>
          <w:szCs w:val="24"/>
        </w:rPr>
      </w:pPr>
    </w:p>
    <w:p w14:paraId="48DCF75E">
      <w:pPr>
        <w:jc w:val="center"/>
        <w:rPr>
          <w:rFonts w:hint="eastAsia" w:ascii="仿宋" w:hAnsi="仿宋" w:eastAsia="仿宋" w:cs="仿宋"/>
          <w:sz w:val="24"/>
          <w:szCs w:val="24"/>
        </w:rPr>
      </w:pPr>
    </w:p>
    <w:p w14:paraId="7974162D">
      <w:pPr>
        <w:jc w:val="center"/>
        <w:rPr>
          <w:rFonts w:hint="eastAsia" w:ascii="仿宋" w:hAnsi="仿宋" w:eastAsia="仿宋" w:cs="仿宋"/>
          <w:sz w:val="24"/>
          <w:szCs w:val="24"/>
        </w:rPr>
      </w:pPr>
      <w:r>
        <w:rPr>
          <w:rFonts w:hint="eastAsia" w:ascii="仿宋" w:hAnsi="仿宋" w:eastAsia="仿宋" w:cs="仿宋"/>
          <w:sz w:val="24"/>
          <w:szCs w:val="24"/>
        </w:rPr>
        <w:br w:type="page"/>
      </w:r>
    </w:p>
    <w:p w14:paraId="13A54B08">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25E611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72ADBDF5">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5A86A9F4">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56C8154D">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147B2F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52D32982">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5B939C53">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1AAB31A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7EB723E0">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1391048C">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0E688C5A">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1184F738">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1EFBD485">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669E978">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01970AF9">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02AEE61F">
      <w:pPr>
        <w:jc w:val="center"/>
        <w:rPr>
          <w:rFonts w:hint="eastAsia" w:ascii="仿宋" w:hAnsi="仿宋" w:eastAsia="仿宋" w:cs="仿宋"/>
          <w:sz w:val="24"/>
          <w:szCs w:val="24"/>
        </w:rPr>
      </w:pPr>
    </w:p>
    <w:p w14:paraId="61ED0FE1">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223839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3C85B9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32B8937C">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0D05806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244918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0C423B">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7620A79C">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2B5BFD8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513841DC">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13584F7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37C3F1BF">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4C7D1820">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0ACA4F3E">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624086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890118F">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52D7E2E5">
            <w:pPr>
              <w:jc w:val="center"/>
              <w:rPr>
                <w:rFonts w:hint="eastAsia" w:ascii="仿宋" w:hAnsi="仿宋" w:eastAsia="仿宋" w:cs="仿宋"/>
                <w:sz w:val="24"/>
                <w:szCs w:val="24"/>
              </w:rPr>
            </w:pPr>
          </w:p>
        </w:tc>
        <w:tc>
          <w:tcPr>
            <w:tcW w:w="1377" w:type="dxa"/>
            <w:tcBorders>
              <w:tl2br w:val="nil"/>
              <w:tr2bl w:val="nil"/>
            </w:tcBorders>
            <w:noWrap w:val="0"/>
            <w:vAlign w:val="center"/>
          </w:tcPr>
          <w:p w14:paraId="6A83972D">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5ED090F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5C971A9C">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2D59C56D">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257A85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1CF9043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729DBDEF">
            <w:pPr>
              <w:jc w:val="center"/>
              <w:rPr>
                <w:rFonts w:hint="eastAsia" w:ascii="仿宋" w:hAnsi="仿宋" w:eastAsia="仿宋" w:cs="仿宋"/>
                <w:sz w:val="24"/>
                <w:szCs w:val="24"/>
              </w:rPr>
            </w:pPr>
          </w:p>
        </w:tc>
        <w:tc>
          <w:tcPr>
            <w:tcW w:w="1377" w:type="dxa"/>
            <w:tcBorders>
              <w:tl2br w:val="nil"/>
              <w:tr2bl w:val="nil"/>
            </w:tcBorders>
            <w:noWrap w:val="0"/>
            <w:vAlign w:val="center"/>
          </w:tcPr>
          <w:p w14:paraId="4129578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4B2468F8">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294B983C">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2B6B252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B7C070E">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4EEB1BD">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7C808AD0">
      <w:pPr>
        <w:rPr>
          <w:rFonts w:hint="eastAsia" w:ascii="宋体" w:hAnsi="宋体" w:cs="宋体"/>
          <w:color w:val="auto"/>
        </w:rPr>
      </w:pPr>
    </w:p>
    <w:bookmarkEnd w:id="2"/>
    <w:p w14:paraId="5B5E9C93">
      <w:pPr>
        <w:rPr>
          <w:rFonts w:hint="eastAsia"/>
          <w:color w:val="auto"/>
        </w:rPr>
      </w:pPr>
    </w:p>
    <w:p w14:paraId="723D0C45">
      <w:pPr>
        <w:jc w:val="center"/>
        <w:rPr>
          <w:b/>
          <w:color w:val="auto"/>
          <w:sz w:val="24"/>
        </w:rPr>
      </w:pPr>
      <w:r>
        <w:rPr>
          <w:b/>
          <w:color w:val="auto"/>
          <w:sz w:val="28"/>
          <w:szCs w:val="28"/>
        </w:rPr>
        <w:t>第一部分、开标一览表</w:t>
      </w:r>
    </w:p>
    <w:p w14:paraId="24239725">
      <w:pPr>
        <w:jc w:val="center"/>
        <w:rPr>
          <w:b/>
          <w:color w:val="auto"/>
          <w:sz w:val="24"/>
        </w:rPr>
      </w:pPr>
    </w:p>
    <w:p w14:paraId="5893F606">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138468EC">
      <w:pPr>
        <w:pStyle w:val="18"/>
        <w:rPr>
          <w:color w:val="auto"/>
        </w:rPr>
      </w:pPr>
    </w:p>
    <w:p w14:paraId="33C0C235">
      <w:pPr>
        <w:adjustRightInd w:val="0"/>
        <w:snapToGrid w:val="0"/>
        <w:spacing w:line="360" w:lineRule="auto"/>
        <w:jc w:val="center"/>
        <w:rPr>
          <w:rFonts w:hint="eastAsia" w:ascii="宋体" w:hAnsi="宋体" w:cs="宋体"/>
          <w:b/>
          <w:color w:val="auto"/>
          <w:sz w:val="28"/>
          <w:szCs w:val="28"/>
        </w:rPr>
      </w:pPr>
    </w:p>
    <w:p w14:paraId="4ABC0B80">
      <w:pPr>
        <w:adjustRightInd w:val="0"/>
        <w:snapToGrid w:val="0"/>
        <w:spacing w:line="360" w:lineRule="auto"/>
        <w:jc w:val="center"/>
        <w:rPr>
          <w:rFonts w:hint="eastAsia" w:ascii="宋体" w:hAnsi="宋体" w:cs="宋体"/>
          <w:b/>
          <w:color w:val="auto"/>
          <w:sz w:val="28"/>
          <w:szCs w:val="28"/>
        </w:rPr>
      </w:pPr>
    </w:p>
    <w:p w14:paraId="6AFBCDDB">
      <w:pPr>
        <w:adjustRightInd w:val="0"/>
        <w:snapToGrid w:val="0"/>
        <w:spacing w:line="360" w:lineRule="auto"/>
        <w:jc w:val="center"/>
        <w:rPr>
          <w:rFonts w:hint="eastAsia" w:ascii="宋体" w:hAnsi="宋体" w:cs="宋体"/>
          <w:b/>
          <w:color w:val="auto"/>
          <w:sz w:val="28"/>
          <w:szCs w:val="28"/>
        </w:rPr>
      </w:pPr>
    </w:p>
    <w:p w14:paraId="2FBADA48">
      <w:pPr>
        <w:adjustRightInd w:val="0"/>
        <w:snapToGrid w:val="0"/>
        <w:spacing w:line="360" w:lineRule="auto"/>
        <w:jc w:val="center"/>
        <w:rPr>
          <w:rFonts w:hint="eastAsia" w:ascii="宋体" w:hAnsi="宋体" w:cs="宋体"/>
          <w:b/>
          <w:color w:val="auto"/>
          <w:sz w:val="28"/>
          <w:szCs w:val="28"/>
        </w:rPr>
      </w:pPr>
    </w:p>
    <w:p w14:paraId="11A8F835">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575C5CAE">
      <w:pPr>
        <w:pStyle w:val="17"/>
        <w:rPr>
          <w:rFonts w:hint="eastAsia"/>
          <w:lang w:eastAsia="zh-CN"/>
        </w:rPr>
      </w:pPr>
    </w:p>
    <w:p w14:paraId="49CA7F92">
      <w:pPr>
        <w:adjustRightInd w:val="0"/>
        <w:snapToGrid w:val="0"/>
        <w:spacing w:line="360" w:lineRule="auto"/>
        <w:jc w:val="center"/>
        <w:rPr>
          <w:rFonts w:hint="eastAsia" w:ascii="宋体" w:hAnsi="宋体" w:cs="宋体"/>
          <w:b/>
          <w:color w:val="auto"/>
          <w:sz w:val="24"/>
          <w:szCs w:val="20"/>
        </w:rPr>
      </w:pPr>
    </w:p>
    <w:p w14:paraId="1435F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8AA142C">
      <w:pPr>
        <w:adjustRightInd w:val="0"/>
        <w:snapToGrid w:val="0"/>
        <w:spacing w:line="360" w:lineRule="auto"/>
        <w:rPr>
          <w:rFonts w:hint="eastAsia" w:ascii="宋体" w:hAnsi="宋体" w:cs="宋体"/>
          <w:b/>
          <w:color w:val="auto"/>
          <w:sz w:val="28"/>
          <w:szCs w:val="28"/>
        </w:rPr>
      </w:pPr>
    </w:p>
    <w:p w14:paraId="7D0FE43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E8F373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2AF609B9">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A1CFC3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B9B8963">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5A3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FE6553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4990A6ED">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B89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4B147C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2FC81EB">
      <w:pPr>
        <w:adjustRightInd w:val="0"/>
        <w:snapToGrid w:val="0"/>
        <w:spacing w:line="360" w:lineRule="auto"/>
        <w:rPr>
          <w:rFonts w:hint="eastAsia" w:ascii="宋体" w:hAnsi="宋体" w:cs="宋体"/>
          <w:color w:val="auto"/>
          <w:sz w:val="24"/>
        </w:rPr>
      </w:pPr>
    </w:p>
    <w:p w14:paraId="4A3EEB34">
      <w:pPr>
        <w:adjustRightInd w:val="0"/>
        <w:snapToGrid w:val="0"/>
        <w:spacing w:line="360" w:lineRule="auto"/>
        <w:rPr>
          <w:rFonts w:hint="eastAsia" w:ascii="宋体" w:hAnsi="宋体" w:cs="宋体"/>
          <w:color w:val="auto"/>
          <w:sz w:val="24"/>
        </w:rPr>
      </w:pPr>
    </w:p>
    <w:p w14:paraId="58C8F887">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72DF609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73623A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6DDD8A3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0BC1CB2">
      <w:pPr>
        <w:adjustRightInd w:val="0"/>
        <w:snapToGrid w:val="0"/>
        <w:spacing w:line="360" w:lineRule="auto"/>
        <w:rPr>
          <w:rFonts w:hint="eastAsia" w:ascii="宋体" w:hAnsi="宋体" w:cs="宋体"/>
          <w:b/>
          <w:color w:val="auto"/>
          <w:sz w:val="28"/>
          <w:szCs w:val="28"/>
        </w:rPr>
      </w:pPr>
    </w:p>
    <w:p w14:paraId="773B4516">
      <w:pPr>
        <w:rPr>
          <w:rFonts w:hint="eastAsia" w:ascii="宋体" w:hAnsi="宋体" w:cs="宋体"/>
          <w:b/>
          <w:color w:val="auto"/>
          <w:sz w:val="24"/>
          <w:szCs w:val="20"/>
        </w:rPr>
      </w:pPr>
      <w:r>
        <w:rPr>
          <w:rFonts w:hint="eastAsia" w:ascii="宋体" w:hAnsi="宋体" w:cs="宋体"/>
          <w:b/>
          <w:color w:val="auto"/>
          <w:sz w:val="24"/>
          <w:szCs w:val="20"/>
        </w:rPr>
        <w:br w:type="page"/>
      </w:r>
    </w:p>
    <w:p w14:paraId="1ED3891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E764EAA">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9CA6EBE">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7A64758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2A173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1295FE5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48345D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3FC694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FE0934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10E123D">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EA0908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4AA0129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2B0C9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261D0F4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7118123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DD993BF">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6167875">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D8F3D85">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2A7F99B">
      <w:pPr>
        <w:adjustRightInd w:val="0"/>
        <w:snapToGrid w:val="0"/>
        <w:spacing w:line="360" w:lineRule="auto"/>
        <w:jc w:val="center"/>
        <w:rPr>
          <w:rFonts w:hint="eastAsia" w:ascii="宋体" w:hAnsi="宋体" w:cs="宋体"/>
          <w:b/>
          <w:color w:val="auto"/>
          <w:sz w:val="24"/>
          <w:szCs w:val="20"/>
        </w:rPr>
      </w:pPr>
    </w:p>
    <w:p w14:paraId="622B4561">
      <w:pPr>
        <w:adjustRightInd w:val="0"/>
        <w:snapToGrid w:val="0"/>
        <w:spacing w:line="360" w:lineRule="auto"/>
        <w:rPr>
          <w:rFonts w:hint="eastAsia" w:ascii="宋体" w:hAnsi="宋体" w:cs="宋体"/>
          <w:b/>
          <w:color w:val="auto"/>
          <w:sz w:val="24"/>
          <w:szCs w:val="20"/>
        </w:rPr>
      </w:pPr>
    </w:p>
    <w:p w14:paraId="08E69EE7">
      <w:pPr>
        <w:adjustRightInd w:val="0"/>
        <w:snapToGrid w:val="0"/>
        <w:spacing w:line="360" w:lineRule="auto"/>
        <w:rPr>
          <w:rFonts w:hint="eastAsia" w:ascii="宋体" w:hAnsi="宋体" w:cs="宋体"/>
          <w:b/>
          <w:color w:val="auto"/>
          <w:sz w:val="24"/>
          <w:szCs w:val="20"/>
        </w:rPr>
      </w:pPr>
    </w:p>
    <w:p w14:paraId="093CD207">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FFB2465">
      <w:pPr>
        <w:adjustRightInd w:val="0"/>
        <w:snapToGrid w:val="0"/>
        <w:spacing w:line="360" w:lineRule="auto"/>
        <w:jc w:val="center"/>
        <w:rPr>
          <w:rFonts w:hint="eastAsia" w:ascii="宋体" w:hAnsi="宋体" w:cs="宋体"/>
          <w:b/>
          <w:color w:val="auto"/>
          <w:sz w:val="24"/>
          <w:szCs w:val="20"/>
        </w:rPr>
      </w:pPr>
    </w:p>
    <w:p w14:paraId="6B3BB398">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E30216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1D25E0C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F98A6C">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9345C7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B95CCB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15B5234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19CE3B3">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9D19DA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102BCA7">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55FBA0D">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785B1EB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4B54136">
      <w:pPr>
        <w:jc w:val="left"/>
        <w:rPr>
          <w:rFonts w:hint="eastAsia" w:ascii="宋体" w:hAnsi="宋体" w:eastAsia="宋体" w:cs="Times New Roman"/>
          <w:b w:val="0"/>
          <w:bCs w:val="0"/>
          <w:color w:val="auto"/>
          <w:kern w:val="2"/>
          <w:sz w:val="24"/>
          <w:szCs w:val="24"/>
          <w:lang w:val="en-US" w:eastAsia="zh-CN" w:bidi="ar-SA"/>
        </w:rPr>
      </w:pPr>
    </w:p>
    <w:p w14:paraId="01DBFF5B">
      <w:pPr>
        <w:jc w:val="left"/>
        <w:rPr>
          <w:rFonts w:hint="eastAsia" w:ascii="宋体" w:hAnsi="宋体" w:eastAsia="宋体" w:cs="Times New Roman"/>
          <w:b w:val="0"/>
          <w:bCs w:val="0"/>
          <w:color w:val="auto"/>
          <w:kern w:val="2"/>
          <w:sz w:val="24"/>
          <w:szCs w:val="24"/>
          <w:lang w:val="en-US" w:eastAsia="zh-CN" w:bidi="ar-SA"/>
        </w:rPr>
      </w:pPr>
    </w:p>
    <w:p w14:paraId="10498A1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C097E52">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A961E94">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55BCBFA4">
      <w:pPr>
        <w:pStyle w:val="17"/>
        <w:rPr>
          <w:rFonts w:hint="eastAsia"/>
          <w:lang w:eastAsia="zh-CN"/>
        </w:rPr>
      </w:pPr>
    </w:p>
    <w:p w14:paraId="5D24C696">
      <w:pPr>
        <w:spacing w:before="120" w:beforeLines="50" w:after="120" w:afterLines="50" w:line="276" w:lineRule="auto"/>
        <w:jc w:val="center"/>
        <w:rPr>
          <w:b/>
          <w:color w:val="auto"/>
          <w:sz w:val="24"/>
        </w:rPr>
      </w:pPr>
      <w:r>
        <w:rPr>
          <w:b/>
          <w:color w:val="auto"/>
          <w:sz w:val="24"/>
        </w:rPr>
        <w:t>采购需求响应/偏离表</w:t>
      </w:r>
    </w:p>
    <w:p w14:paraId="29E8B025">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6ED7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1D21965">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9B616A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4FA2923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38B39FB9">
            <w:pPr>
              <w:adjustRightInd w:val="0"/>
              <w:snapToGrid w:val="0"/>
              <w:spacing w:before="50" w:line="360" w:lineRule="auto"/>
              <w:jc w:val="center"/>
              <w:rPr>
                <w:color w:val="auto"/>
              </w:rPr>
            </w:pPr>
            <w:r>
              <w:rPr>
                <w:color w:val="auto"/>
              </w:rPr>
              <w:t>投标文件应答</w:t>
            </w:r>
          </w:p>
        </w:tc>
        <w:tc>
          <w:tcPr>
            <w:tcW w:w="1513" w:type="dxa"/>
            <w:noWrap w:val="0"/>
            <w:vAlign w:val="center"/>
          </w:tcPr>
          <w:p w14:paraId="082F258F">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7E37011B">
            <w:pPr>
              <w:adjustRightInd w:val="0"/>
              <w:snapToGrid w:val="0"/>
              <w:spacing w:before="50" w:line="360" w:lineRule="auto"/>
              <w:ind w:left="-88" w:leftChars="-42"/>
              <w:jc w:val="center"/>
              <w:rPr>
                <w:color w:val="auto"/>
                <w:szCs w:val="21"/>
              </w:rPr>
            </w:pPr>
            <w:r>
              <w:rPr>
                <w:color w:val="auto"/>
                <w:szCs w:val="21"/>
              </w:rPr>
              <w:t>偏离说明</w:t>
            </w:r>
          </w:p>
        </w:tc>
      </w:tr>
      <w:tr w14:paraId="2413E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D8C0D78">
            <w:pPr>
              <w:adjustRightInd w:val="0"/>
              <w:snapToGrid w:val="0"/>
              <w:spacing w:before="50" w:line="360" w:lineRule="auto"/>
              <w:ind w:left="-88" w:leftChars="-42"/>
              <w:jc w:val="center"/>
              <w:rPr>
                <w:color w:val="auto"/>
                <w:szCs w:val="21"/>
              </w:rPr>
            </w:pPr>
          </w:p>
        </w:tc>
        <w:tc>
          <w:tcPr>
            <w:tcW w:w="1877" w:type="dxa"/>
            <w:noWrap w:val="0"/>
            <w:vAlign w:val="center"/>
          </w:tcPr>
          <w:p w14:paraId="3B97111F">
            <w:pPr>
              <w:adjustRightInd w:val="0"/>
              <w:snapToGrid w:val="0"/>
              <w:spacing w:before="50" w:line="360" w:lineRule="auto"/>
              <w:ind w:left="-88" w:leftChars="-42"/>
              <w:jc w:val="center"/>
              <w:rPr>
                <w:color w:val="auto"/>
                <w:szCs w:val="21"/>
              </w:rPr>
            </w:pPr>
          </w:p>
        </w:tc>
        <w:tc>
          <w:tcPr>
            <w:tcW w:w="1671" w:type="dxa"/>
            <w:noWrap w:val="0"/>
            <w:vAlign w:val="center"/>
          </w:tcPr>
          <w:p w14:paraId="3C767129">
            <w:pPr>
              <w:adjustRightInd w:val="0"/>
              <w:snapToGrid w:val="0"/>
              <w:spacing w:before="50" w:line="360" w:lineRule="auto"/>
              <w:ind w:left="-88" w:leftChars="-42"/>
              <w:jc w:val="center"/>
              <w:rPr>
                <w:color w:val="auto"/>
                <w:szCs w:val="21"/>
              </w:rPr>
            </w:pPr>
          </w:p>
        </w:tc>
        <w:tc>
          <w:tcPr>
            <w:tcW w:w="1608" w:type="dxa"/>
            <w:noWrap w:val="0"/>
            <w:vAlign w:val="center"/>
          </w:tcPr>
          <w:p w14:paraId="10491CEC">
            <w:pPr>
              <w:adjustRightInd w:val="0"/>
              <w:snapToGrid w:val="0"/>
              <w:spacing w:before="50" w:line="360" w:lineRule="auto"/>
              <w:ind w:left="-88" w:leftChars="-42"/>
              <w:jc w:val="center"/>
              <w:rPr>
                <w:color w:val="auto"/>
                <w:szCs w:val="21"/>
              </w:rPr>
            </w:pPr>
          </w:p>
        </w:tc>
        <w:tc>
          <w:tcPr>
            <w:tcW w:w="1513" w:type="dxa"/>
            <w:noWrap w:val="0"/>
            <w:vAlign w:val="center"/>
          </w:tcPr>
          <w:p w14:paraId="0D2FA595">
            <w:pPr>
              <w:adjustRightInd w:val="0"/>
              <w:snapToGrid w:val="0"/>
              <w:spacing w:before="50" w:line="360" w:lineRule="auto"/>
              <w:ind w:left="-88" w:leftChars="-42"/>
              <w:jc w:val="center"/>
              <w:rPr>
                <w:color w:val="auto"/>
                <w:szCs w:val="21"/>
              </w:rPr>
            </w:pPr>
          </w:p>
        </w:tc>
        <w:tc>
          <w:tcPr>
            <w:tcW w:w="1061" w:type="dxa"/>
            <w:noWrap w:val="0"/>
            <w:vAlign w:val="center"/>
          </w:tcPr>
          <w:p w14:paraId="405E0687">
            <w:pPr>
              <w:adjustRightInd w:val="0"/>
              <w:snapToGrid w:val="0"/>
              <w:spacing w:before="50" w:line="360" w:lineRule="auto"/>
              <w:ind w:left="-88" w:leftChars="-42"/>
              <w:jc w:val="center"/>
              <w:rPr>
                <w:color w:val="auto"/>
                <w:szCs w:val="21"/>
              </w:rPr>
            </w:pPr>
          </w:p>
        </w:tc>
      </w:tr>
      <w:tr w14:paraId="785E89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8D93EAA">
            <w:pPr>
              <w:adjustRightInd w:val="0"/>
              <w:snapToGrid w:val="0"/>
              <w:spacing w:before="50" w:line="360" w:lineRule="auto"/>
              <w:ind w:left="-88" w:leftChars="-42"/>
              <w:jc w:val="center"/>
              <w:rPr>
                <w:color w:val="auto"/>
                <w:szCs w:val="21"/>
              </w:rPr>
            </w:pPr>
          </w:p>
        </w:tc>
        <w:tc>
          <w:tcPr>
            <w:tcW w:w="1877" w:type="dxa"/>
            <w:noWrap w:val="0"/>
            <w:vAlign w:val="center"/>
          </w:tcPr>
          <w:p w14:paraId="137A2751">
            <w:pPr>
              <w:adjustRightInd w:val="0"/>
              <w:snapToGrid w:val="0"/>
              <w:spacing w:before="50" w:line="360" w:lineRule="auto"/>
              <w:ind w:left="-88" w:leftChars="-42"/>
              <w:jc w:val="center"/>
              <w:rPr>
                <w:color w:val="auto"/>
                <w:szCs w:val="21"/>
              </w:rPr>
            </w:pPr>
          </w:p>
        </w:tc>
        <w:tc>
          <w:tcPr>
            <w:tcW w:w="1671" w:type="dxa"/>
            <w:noWrap w:val="0"/>
            <w:vAlign w:val="center"/>
          </w:tcPr>
          <w:p w14:paraId="6C388274">
            <w:pPr>
              <w:adjustRightInd w:val="0"/>
              <w:snapToGrid w:val="0"/>
              <w:spacing w:before="50" w:line="360" w:lineRule="auto"/>
              <w:ind w:left="-88" w:leftChars="-42"/>
              <w:jc w:val="center"/>
              <w:rPr>
                <w:color w:val="auto"/>
                <w:szCs w:val="21"/>
              </w:rPr>
            </w:pPr>
          </w:p>
        </w:tc>
        <w:tc>
          <w:tcPr>
            <w:tcW w:w="1608" w:type="dxa"/>
            <w:noWrap w:val="0"/>
            <w:vAlign w:val="center"/>
          </w:tcPr>
          <w:p w14:paraId="2C6473D1">
            <w:pPr>
              <w:adjustRightInd w:val="0"/>
              <w:snapToGrid w:val="0"/>
              <w:spacing w:before="50" w:line="360" w:lineRule="auto"/>
              <w:ind w:left="-88" w:leftChars="-42"/>
              <w:jc w:val="center"/>
              <w:rPr>
                <w:color w:val="auto"/>
                <w:szCs w:val="21"/>
              </w:rPr>
            </w:pPr>
          </w:p>
        </w:tc>
        <w:tc>
          <w:tcPr>
            <w:tcW w:w="1513" w:type="dxa"/>
            <w:noWrap w:val="0"/>
            <w:vAlign w:val="center"/>
          </w:tcPr>
          <w:p w14:paraId="1E6B0EBF">
            <w:pPr>
              <w:adjustRightInd w:val="0"/>
              <w:snapToGrid w:val="0"/>
              <w:spacing w:before="50" w:line="360" w:lineRule="auto"/>
              <w:ind w:left="-88" w:leftChars="-42"/>
              <w:jc w:val="center"/>
              <w:rPr>
                <w:color w:val="auto"/>
                <w:szCs w:val="21"/>
              </w:rPr>
            </w:pPr>
          </w:p>
        </w:tc>
        <w:tc>
          <w:tcPr>
            <w:tcW w:w="1061" w:type="dxa"/>
            <w:noWrap w:val="0"/>
            <w:vAlign w:val="center"/>
          </w:tcPr>
          <w:p w14:paraId="6CF580D9">
            <w:pPr>
              <w:adjustRightInd w:val="0"/>
              <w:snapToGrid w:val="0"/>
              <w:spacing w:before="50" w:line="360" w:lineRule="auto"/>
              <w:ind w:left="-88" w:leftChars="-42"/>
              <w:jc w:val="center"/>
              <w:rPr>
                <w:color w:val="auto"/>
                <w:szCs w:val="21"/>
              </w:rPr>
            </w:pPr>
          </w:p>
        </w:tc>
      </w:tr>
      <w:tr w14:paraId="2430BF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E8AA852">
            <w:pPr>
              <w:adjustRightInd w:val="0"/>
              <w:snapToGrid w:val="0"/>
              <w:spacing w:before="50" w:line="360" w:lineRule="auto"/>
              <w:ind w:left="-88" w:leftChars="-42"/>
              <w:jc w:val="center"/>
              <w:rPr>
                <w:color w:val="auto"/>
                <w:szCs w:val="21"/>
              </w:rPr>
            </w:pPr>
          </w:p>
        </w:tc>
        <w:tc>
          <w:tcPr>
            <w:tcW w:w="1877" w:type="dxa"/>
            <w:noWrap w:val="0"/>
            <w:vAlign w:val="center"/>
          </w:tcPr>
          <w:p w14:paraId="4075E40D">
            <w:pPr>
              <w:adjustRightInd w:val="0"/>
              <w:snapToGrid w:val="0"/>
              <w:spacing w:before="50" w:line="360" w:lineRule="auto"/>
              <w:ind w:left="-88" w:leftChars="-42"/>
              <w:jc w:val="center"/>
              <w:rPr>
                <w:color w:val="auto"/>
                <w:szCs w:val="21"/>
              </w:rPr>
            </w:pPr>
          </w:p>
        </w:tc>
        <w:tc>
          <w:tcPr>
            <w:tcW w:w="1671" w:type="dxa"/>
            <w:noWrap w:val="0"/>
            <w:vAlign w:val="center"/>
          </w:tcPr>
          <w:p w14:paraId="6C702BB2">
            <w:pPr>
              <w:adjustRightInd w:val="0"/>
              <w:snapToGrid w:val="0"/>
              <w:spacing w:before="50" w:line="360" w:lineRule="auto"/>
              <w:ind w:left="-88" w:leftChars="-42"/>
              <w:jc w:val="center"/>
              <w:rPr>
                <w:color w:val="auto"/>
                <w:szCs w:val="21"/>
              </w:rPr>
            </w:pPr>
          </w:p>
        </w:tc>
        <w:tc>
          <w:tcPr>
            <w:tcW w:w="1608" w:type="dxa"/>
            <w:noWrap w:val="0"/>
            <w:vAlign w:val="center"/>
          </w:tcPr>
          <w:p w14:paraId="727E8D5F">
            <w:pPr>
              <w:adjustRightInd w:val="0"/>
              <w:snapToGrid w:val="0"/>
              <w:spacing w:before="50" w:line="360" w:lineRule="auto"/>
              <w:ind w:left="-88" w:leftChars="-42"/>
              <w:jc w:val="center"/>
              <w:rPr>
                <w:color w:val="auto"/>
                <w:szCs w:val="21"/>
              </w:rPr>
            </w:pPr>
          </w:p>
        </w:tc>
        <w:tc>
          <w:tcPr>
            <w:tcW w:w="1513" w:type="dxa"/>
            <w:noWrap w:val="0"/>
            <w:vAlign w:val="center"/>
          </w:tcPr>
          <w:p w14:paraId="1CADE362">
            <w:pPr>
              <w:adjustRightInd w:val="0"/>
              <w:snapToGrid w:val="0"/>
              <w:spacing w:before="50" w:line="360" w:lineRule="auto"/>
              <w:ind w:left="-88" w:leftChars="-42"/>
              <w:jc w:val="center"/>
              <w:rPr>
                <w:color w:val="auto"/>
                <w:szCs w:val="21"/>
              </w:rPr>
            </w:pPr>
          </w:p>
        </w:tc>
        <w:tc>
          <w:tcPr>
            <w:tcW w:w="1061" w:type="dxa"/>
            <w:noWrap w:val="0"/>
            <w:vAlign w:val="center"/>
          </w:tcPr>
          <w:p w14:paraId="4C669EA3">
            <w:pPr>
              <w:adjustRightInd w:val="0"/>
              <w:snapToGrid w:val="0"/>
              <w:spacing w:before="50" w:line="360" w:lineRule="auto"/>
              <w:ind w:left="-88" w:leftChars="-42"/>
              <w:jc w:val="center"/>
              <w:rPr>
                <w:color w:val="auto"/>
                <w:szCs w:val="21"/>
              </w:rPr>
            </w:pPr>
          </w:p>
        </w:tc>
      </w:tr>
      <w:tr w14:paraId="24269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2AF229AE">
            <w:pPr>
              <w:rPr>
                <w:b/>
                <w:color w:val="auto"/>
              </w:rPr>
            </w:pPr>
          </w:p>
        </w:tc>
      </w:tr>
    </w:tbl>
    <w:p w14:paraId="30277756">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2C3E146B">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21E58CA">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4EB0413">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2C1FF301">
      <w:pPr>
        <w:pStyle w:val="18"/>
        <w:rPr>
          <w:color w:val="auto"/>
        </w:rPr>
      </w:pPr>
    </w:p>
    <w:p w14:paraId="4317B66E">
      <w:pPr>
        <w:pStyle w:val="17"/>
        <w:rPr>
          <w:rFonts w:hint="eastAsia"/>
          <w:lang w:eastAsia="zh-CN"/>
        </w:rPr>
      </w:pPr>
    </w:p>
    <w:p w14:paraId="490EA7F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80288">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B3A1D">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35B3A1D">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497189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BD61D">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3B7A8">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7B3B7A8">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4BE9169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8359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4608AD"/>
    <w:rsid w:val="00AE556A"/>
    <w:rsid w:val="01062C1A"/>
    <w:rsid w:val="01350E35"/>
    <w:rsid w:val="01F50B67"/>
    <w:rsid w:val="02390242"/>
    <w:rsid w:val="03E43FAE"/>
    <w:rsid w:val="04653F41"/>
    <w:rsid w:val="04B72FC8"/>
    <w:rsid w:val="04F57A38"/>
    <w:rsid w:val="050719CA"/>
    <w:rsid w:val="06934BAA"/>
    <w:rsid w:val="06E91EC4"/>
    <w:rsid w:val="07583825"/>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BE628B9"/>
    <w:rsid w:val="1C795D39"/>
    <w:rsid w:val="1CE412C7"/>
    <w:rsid w:val="1D5071B5"/>
    <w:rsid w:val="1DD7486D"/>
    <w:rsid w:val="1E79119D"/>
    <w:rsid w:val="1F334F58"/>
    <w:rsid w:val="1F796B24"/>
    <w:rsid w:val="1FC602A8"/>
    <w:rsid w:val="1FE73549"/>
    <w:rsid w:val="2038045E"/>
    <w:rsid w:val="208F6E7F"/>
    <w:rsid w:val="20AF0900"/>
    <w:rsid w:val="20B41DA7"/>
    <w:rsid w:val="20BC6B8B"/>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A202A5"/>
    <w:rsid w:val="31F17CD1"/>
    <w:rsid w:val="324F4D43"/>
    <w:rsid w:val="32E86B4C"/>
    <w:rsid w:val="33384C93"/>
    <w:rsid w:val="33EE6ABE"/>
    <w:rsid w:val="340F06E9"/>
    <w:rsid w:val="34C12F54"/>
    <w:rsid w:val="361110A5"/>
    <w:rsid w:val="366241E2"/>
    <w:rsid w:val="36B66AAC"/>
    <w:rsid w:val="36E47928"/>
    <w:rsid w:val="372F7378"/>
    <w:rsid w:val="37BA0809"/>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0681D02"/>
    <w:rsid w:val="4140452A"/>
    <w:rsid w:val="414D7889"/>
    <w:rsid w:val="41BB0BAE"/>
    <w:rsid w:val="425629F5"/>
    <w:rsid w:val="4284152B"/>
    <w:rsid w:val="429A4992"/>
    <w:rsid w:val="435B161D"/>
    <w:rsid w:val="43B25DAC"/>
    <w:rsid w:val="44771DFD"/>
    <w:rsid w:val="45D569C3"/>
    <w:rsid w:val="470C3EE0"/>
    <w:rsid w:val="479B74B7"/>
    <w:rsid w:val="48735221"/>
    <w:rsid w:val="49E92B05"/>
    <w:rsid w:val="4A354E62"/>
    <w:rsid w:val="4AEE1A11"/>
    <w:rsid w:val="4B7F39F4"/>
    <w:rsid w:val="4BAE646F"/>
    <w:rsid w:val="4C4D6AA3"/>
    <w:rsid w:val="4CAC1559"/>
    <w:rsid w:val="4D754257"/>
    <w:rsid w:val="4DCD6AB3"/>
    <w:rsid w:val="4EE7662F"/>
    <w:rsid w:val="50216DCD"/>
    <w:rsid w:val="50540C20"/>
    <w:rsid w:val="506258C6"/>
    <w:rsid w:val="51AC28BD"/>
    <w:rsid w:val="52183ACC"/>
    <w:rsid w:val="521E2A7F"/>
    <w:rsid w:val="53345ECB"/>
    <w:rsid w:val="53B55872"/>
    <w:rsid w:val="544055F2"/>
    <w:rsid w:val="54AD4386"/>
    <w:rsid w:val="55D8243C"/>
    <w:rsid w:val="581A7C72"/>
    <w:rsid w:val="583A4BD7"/>
    <w:rsid w:val="59907279"/>
    <w:rsid w:val="59C51B68"/>
    <w:rsid w:val="59C74B1F"/>
    <w:rsid w:val="5A886F59"/>
    <w:rsid w:val="5DB23133"/>
    <w:rsid w:val="604D5946"/>
    <w:rsid w:val="611B6B1B"/>
    <w:rsid w:val="6133560C"/>
    <w:rsid w:val="62C222C2"/>
    <w:rsid w:val="632D7C40"/>
    <w:rsid w:val="64133D6A"/>
    <w:rsid w:val="64245572"/>
    <w:rsid w:val="66C30AF5"/>
    <w:rsid w:val="672737CD"/>
    <w:rsid w:val="678E4F5D"/>
    <w:rsid w:val="67F3562A"/>
    <w:rsid w:val="680E122C"/>
    <w:rsid w:val="6A4E1D63"/>
    <w:rsid w:val="6AA026F2"/>
    <w:rsid w:val="6B592423"/>
    <w:rsid w:val="6B933190"/>
    <w:rsid w:val="6C3E0FF7"/>
    <w:rsid w:val="6C486FE4"/>
    <w:rsid w:val="6CA409DF"/>
    <w:rsid w:val="6DE375E4"/>
    <w:rsid w:val="6E8E5287"/>
    <w:rsid w:val="6FAC3B48"/>
    <w:rsid w:val="6FAD463B"/>
    <w:rsid w:val="6FBE332C"/>
    <w:rsid w:val="70CE0BC9"/>
    <w:rsid w:val="71554367"/>
    <w:rsid w:val="71584067"/>
    <w:rsid w:val="71F26E91"/>
    <w:rsid w:val="72931CE4"/>
    <w:rsid w:val="735201FF"/>
    <w:rsid w:val="737B50A4"/>
    <w:rsid w:val="73F40E72"/>
    <w:rsid w:val="74566F5C"/>
    <w:rsid w:val="750117A8"/>
    <w:rsid w:val="755B2270"/>
    <w:rsid w:val="75E27514"/>
    <w:rsid w:val="7612420D"/>
    <w:rsid w:val="76920D75"/>
    <w:rsid w:val="76C47877"/>
    <w:rsid w:val="77423DFF"/>
    <w:rsid w:val="783B5EA9"/>
    <w:rsid w:val="79EB699D"/>
    <w:rsid w:val="79F871CC"/>
    <w:rsid w:val="7AFF5E62"/>
    <w:rsid w:val="7B0620DE"/>
    <w:rsid w:val="7BBF44BB"/>
    <w:rsid w:val="7BF15CE4"/>
    <w:rsid w:val="7C3A27E5"/>
    <w:rsid w:val="7D9727DD"/>
    <w:rsid w:val="7DCB30EB"/>
    <w:rsid w:val="7E9F79F5"/>
    <w:rsid w:val="7EFB4F6E"/>
    <w:rsid w:val="7F164138"/>
    <w:rsid w:val="7F1A5E95"/>
    <w:rsid w:val="7F922751"/>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r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9"/>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BodyText1I2"/>
    <w:basedOn w:val="21"/>
    <w:qFormat/>
    <w:uiPriority w:val="0"/>
    <w:pPr>
      <w:ind w:firstLine="420"/>
      <w:jc w:val="left"/>
    </w:pPr>
    <w:rPr>
      <w:rFonts w:ascii="Calibri" w:hAnsi="Calibri"/>
      <w:kern w:val="0"/>
    </w:rPr>
  </w:style>
  <w:style w:type="paragraph" w:customStyle="1" w:styleId="21">
    <w:name w:val="BodyText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11839</Words>
  <Characters>12587</Characters>
  <Lines>0</Lines>
  <Paragraphs>0</Paragraphs>
  <TotalTime>0</TotalTime>
  <ScaleCrop>false</ScaleCrop>
  <LinksUpToDate>false</LinksUpToDate>
  <CharactersWithSpaces>13526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cp:lastPrinted>2026-01-06T07:57:00Z</cp:lastPrinted>
  <dcterms:modified xsi:type="dcterms:W3CDTF">2026-01-09T06:02:48Z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