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18"/>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bookmarkStart w:id="4" w:name="_GoBack"/>
    </w:p>
    <w:bookmarkEnd w:id="4"/>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内外网摆渡系统</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内外网摆渡系统</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内外网摆渡系统</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8"/>
        <w:rPr>
          <w:rFonts w:hint="eastAsia"/>
          <w:lang w:val="en-US" w:eastAsia="zh-CN"/>
        </w:rPr>
      </w:pPr>
    </w:p>
    <w:p w14:paraId="7E250597">
      <w:pPr>
        <w:pStyle w:val="18"/>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8"/>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7"/>
        <w:rPr>
          <w:rFonts w:hint="eastAsia"/>
          <w:lang w:val="en-US" w:eastAsia="zh-CN"/>
        </w:rPr>
      </w:pPr>
    </w:p>
    <w:p w14:paraId="04DC7BC4">
      <w:pPr>
        <w:pStyle w:val="3"/>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C704D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eastAsia="zh-CN"/>
              </w:rPr>
              <w:t>配件</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数量</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2690AC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内外网摆渡系统</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1套</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keepNext w:val="0"/>
              <w:keepLines w:val="0"/>
              <w:widowControl/>
              <w:suppressLineNumbers w:val="0"/>
              <w:jc w:val="center"/>
              <w:textAlignment w:val="center"/>
              <w:rPr>
                <w:rFonts w:hint="default" w:ascii="宋体" w:hAnsi="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27</w:t>
            </w:r>
          </w:p>
        </w:tc>
      </w:tr>
    </w:tbl>
    <w:p w14:paraId="259BF08C">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2、服务时间：详见合同</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tbl>
      <w:tblPr>
        <w:tblStyle w:val="14"/>
        <w:tblW w:w="83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2"/>
        <w:gridCol w:w="1524"/>
        <w:gridCol w:w="6301"/>
      </w:tblGrid>
      <w:tr w14:paraId="767FF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12" w:type="dxa"/>
            <w:shd w:val="clear" w:color="000000" w:fill="auto"/>
            <w:noWrap/>
            <w:tcMar>
              <w:top w:w="15" w:type="dxa"/>
              <w:left w:w="15" w:type="dxa"/>
              <w:bottom w:w="0" w:type="dxa"/>
              <w:right w:w="15" w:type="dxa"/>
            </w:tcMar>
            <w:vAlign w:val="center"/>
          </w:tcPr>
          <w:p w14:paraId="73C5A71C">
            <w:pPr>
              <w:jc w:val="center"/>
              <w:rPr>
                <w:b/>
                <w:bCs/>
                <w:color w:val="000000"/>
                <w:szCs w:val="21"/>
              </w:rPr>
            </w:pPr>
            <w:r>
              <w:rPr>
                <w:rFonts w:hint="eastAsia"/>
                <w:b/>
                <w:bCs/>
                <w:color w:val="000000"/>
                <w:szCs w:val="21"/>
              </w:rPr>
              <w:t>序号</w:t>
            </w:r>
          </w:p>
        </w:tc>
        <w:tc>
          <w:tcPr>
            <w:tcW w:w="1524" w:type="dxa"/>
            <w:shd w:val="clear" w:color="000000" w:fill="auto"/>
            <w:tcMar>
              <w:top w:w="15" w:type="dxa"/>
              <w:left w:w="15" w:type="dxa"/>
              <w:bottom w:w="0" w:type="dxa"/>
              <w:right w:w="15" w:type="dxa"/>
            </w:tcMar>
            <w:vAlign w:val="center"/>
          </w:tcPr>
          <w:p w14:paraId="599809EA">
            <w:pPr>
              <w:jc w:val="center"/>
              <w:rPr>
                <w:b/>
                <w:bCs/>
                <w:color w:val="000000"/>
                <w:szCs w:val="21"/>
              </w:rPr>
            </w:pPr>
            <w:r>
              <w:rPr>
                <w:rFonts w:hint="eastAsia"/>
                <w:b/>
                <w:bCs/>
                <w:color w:val="000000"/>
                <w:szCs w:val="21"/>
              </w:rPr>
              <w:t>指标项</w:t>
            </w:r>
          </w:p>
        </w:tc>
        <w:tc>
          <w:tcPr>
            <w:tcW w:w="6301" w:type="dxa"/>
            <w:shd w:val="clear" w:color="000000" w:fill="auto"/>
            <w:tcMar>
              <w:top w:w="15" w:type="dxa"/>
              <w:left w:w="15" w:type="dxa"/>
              <w:bottom w:w="0" w:type="dxa"/>
              <w:right w:w="15" w:type="dxa"/>
            </w:tcMar>
            <w:vAlign w:val="center"/>
          </w:tcPr>
          <w:p w14:paraId="57614B47">
            <w:pPr>
              <w:jc w:val="center"/>
              <w:rPr>
                <w:b/>
                <w:bCs/>
                <w:color w:val="000000"/>
                <w:szCs w:val="21"/>
              </w:rPr>
            </w:pPr>
            <w:r>
              <w:rPr>
                <w:rFonts w:hint="eastAsia"/>
                <w:b/>
                <w:bCs/>
                <w:color w:val="000000"/>
                <w:szCs w:val="21"/>
              </w:rPr>
              <w:t>技术指标要求</w:t>
            </w:r>
          </w:p>
        </w:tc>
      </w:tr>
      <w:tr w14:paraId="2BAA4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512" w:type="dxa"/>
            <w:noWrap/>
            <w:tcMar>
              <w:top w:w="15" w:type="dxa"/>
              <w:left w:w="15" w:type="dxa"/>
              <w:bottom w:w="0" w:type="dxa"/>
              <w:right w:w="15" w:type="dxa"/>
            </w:tcMar>
            <w:vAlign w:val="center"/>
          </w:tcPr>
          <w:p w14:paraId="08D3A8A3">
            <w:pPr>
              <w:jc w:val="center"/>
              <w:rPr>
                <w:color w:val="000000"/>
                <w:szCs w:val="21"/>
              </w:rPr>
            </w:pPr>
            <w:r>
              <w:rPr>
                <w:rFonts w:hint="eastAsia"/>
                <w:color w:val="000000"/>
                <w:szCs w:val="21"/>
              </w:rPr>
              <w:t>1</w:t>
            </w:r>
          </w:p>
        </w:tc>
        <w:tc>
          <w:tcPr>
            <w:tcW w:w="1524" w:type="dxa"/>
            <w:tcMar>
              <w:top w:w="15" w:type="dxa"/>
              <w:left w:w="15" w:type="dxa"/>
              <w:bottom w:w="0" w:type="dxa"/>
              <w:right w:w="15" w:type="dxa"/>
            </w:tcMar>
            <w:vAlign w:val="center"/>
          </w:tcPr>
          <w:p w14:paraId="1B956E38">
            <w:pPr>
              <w:jc w:val="center"/>
              <w:rPr>
                <w:rFonts w:hint="eastAsia" w:eastAsiaTheme="minorEastAsia"/>
                <w:color w:val="000000"/>
                <w:szCs w:val="21"/>
                <w:lang w:eastAsia="zh-CN"/>
              </w:rPr>
            </w:pPr>
            <w:r>
              <w:rPr>
                <w:rFonts w:hint="eastAsia"/>
                <w:color w:val="000000"/>
                <w:szCs w:val="21"/>
              </w:rPr>
              <w:t>硬件性能</w:t>
            </w:r>
            <w:r>
              <w:rPr>
                <w:rFonts w:hint="eastAsia"/>
                <w:color w:val="000000"/>
                <w:szCs w:val="21"/>
                <w:lang w:eastAsia="zh-CN"/>
              </w:rPr>
              <w:t>（</w:t>
            </w:r>
            <w:r>
              <w:rPr>
                <w:rFonts w:hint="eastAsia"/>
                <w:color w:val="000000"/>
                <w:szCs w:val="21"/>
                <w:lang w:val="en-US" w:eastAsia="zh-CN"/>
              </w:rPr>
              <w:t>内网节点</w:t>
            </w:r>
            <w:r>
              <w:rPr>
                <w:rFonts w:hint="eastAsia"/>
                <w:color w:val="000000"/>
                <w:szCs w:val="21"/>
                <w:lang w:eastAsia="zh-CN"/>
              </w:rPr>
              <w:t>）</w:t>
            </w:r>
          </w:p>
        </w:tc>
        <w:tc>
          <w:tcPr>
            <w:tcW w:w="6301" w:type="dxa"/>
            <w:tcMar>
              <w:top w:w="15" w:type="dxa"/>
              <w:left w:w="15" w:type="dxa"/>
              <w:bottom w:w="0" w:type="dxa"/>
              <w:right w:w="15" w:type="dxa"/>
            </w:tcMar>
            <w:vAlign w:val="center"/>
          </w:tcPr>
          <w:p w14:paraId="0F6E966E">
            <w:pPr>
              <w:pStyle w:val="17"/>
              <w:ind w:firstLine="0"/>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CPU≥16核32线程，CPU基础频率≥2.4GHz，服务器整机网口≥2个千兆网口，系统盘480G SATA SSD *2（raid 1），服务器整机运行内存≥64G，服务器整机存储盘位≥8；固定硬盘位配置存储≥8T企业级存储*2（raid 1）；电源：800W*2；</w:t>
            </w:r>
          </w:p>
        </w:tc>
      </w:tr>
      <w:tr w14:paraId="35CF9D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512" w:type="dxa"/>
            <w:noWrap/>
            <w:tcMar>
              <w:top w:w="15" w:type="dxa"/>
              <w:left w:w="15" w:type="dxa"/>
              <w:bottom w:w="0" w:type="dxa"/>
              <w:right w:w="15" w:type="dxa"/>
            </w:tcMar>
            <w:vAlign w:val="center"/>
          </w:tcPr>
          <w:p w14:paraId="196F9494">
            <w:pPr>
              <w:jc w:val="center"/>
              <w:rPr>
                <w:rFonts w:hint="eastAsia"/>
                <w:color w:val="000000"/>
                <w:szCs w:val="21"/>
              </w:rPr>
            </w:pPr>
          </w:p>
        </w:tc>
        <w:tc>
          <w:tcPr>
            <w:tcW w:w="1524" w:type="dxa"/>
            <w:tcMar>
              <w:top w:w="15" w:type="dxa"/>
              <w:left w:w="15" w:type="dxa"/>
              <w:bottom w:w="0" w:type="dxa"/>
              <w:right w:w="15" w:type="dxa"/>
            </w:tcMar>
            <w:vAlign w:val="center"/>
          </w:tcPr>
          <w:p w14:paraId="5ADC513B">
            <w:pPr>
              <w:jc w:val="center"/>
              <w:rPr>
                <w:rFonts w:hint="eastAsia"/>
                <w:color w:val="000000"/>
                <w:szCs w:val="21"/>
              </w:rPr>
            </w:pPr>
            <w:r>
              <w:rPr>
                <w:rFonts w:hint="eastAsia"/>
                <w:color w:val="000000"/>
                <w:szCs w:val="21"/>
              </w:rPr>
              <w:t>硬件性能</w:t>
            </w:r>
            <w:r>
              <w:rPr>
                <w:rFonts w:hint="eastAsia"/>
                <w:color w:val="000000"/>
                <w:szCs w:val="21"/>
                <w:lang w:eastAsia="zh-CN"/>
              </w:rPr>
              <w:t>（</w:t>
            </w:r>
            <w:r>
              <w:rPr>
                <w:rFonts w:hint="eastAsia"/>
                <w:color w:val="000000"/>
                <w:szCs w:val="21"/>
                <w:lang w:val="en-US" w:eastAsia="zh-CN"/>
              </w:rPr>
              <w:t>外网节点</w:t>
            </w:r>
            <w:r>
              <w:rPr>
                <w:rFonts w:hint="eastAsia"/>
                <w:color w:val="000000"/>
                <w:szCs w:val="21"/>
                <w:lang w:eastAsia="zh-CN"/>
              </w:rPr>
              <w:t>）</w:t>
            </w:r>
          </w:p>
        </w:tc>
        <w:tc>
          <w:tcPr>
            <w:tcW w:w="6301" w:type="dxa"/>
            <w:tcMar>
              <w:top w:w="15" w:type="dxa"/>
              <w:left w:w="15" w:type="dxa"/>
              <w:bottom w:w="0" w:type="dxa"/>
              <w:right w:w="15" w:type="dxa"/>
            </w:tcMar>
            <w:vAlign w:val="center"/>
          </w:tcPr>
          <w:tbl>
            <w:tblPr>
              <w:tblStyle w:val="14"/>
              <w:tblW w:w="83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01"/>
            </w:tblGrid>
            <w:tr w14:paraId="0281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6301" w:type="dxa"/>
                  <w:tcMar>
                    <w:top w:w="15" w:type="dxa"/>
                    <w:left w:w="15" w:type="dxa"/>
                    <w:bottom w:w="0" w:type="dxa"/>
                    <w:right w:w="15" w:type="dxa"/>
                  </w:tcMar>
                  <w:vAlign w:val="center"/>
                </w:tcPr>
                <w:p w14:paraId="166D3EC3">
                  <w:pPr>
                    <w:pStyle w:val="17"/>
                    <w:ind w:firstLine="0"/>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CPU≥16核32线程，CPU基础频率≥2.4GHz，服务器整机网口≥2个千兆网口，系统盘480G SATA SSD *2（raid 1），服务器整机运行内存≥64G，服务器整机存储盘位≥8；固定硬盘位配置存储≥8T企业级存储*2（raid 1）；电源：800W*2；</w:t>
                  </w:r>
                </w:p>
              </w:tc>
            </w:tr>
          </w:tbl>
          <w:p w14:paraId="5F3E89B3">
            <w:pPr>
              <w:pStyle w:val="17"/>
              <w:ind w:firstLine="0" w:firstLineChars="0"/>
              <w:rPr>
                <w:rFonts w:hint="default" w:ascii="Times New Roman" w:hAnsi="Times New Roman" w:eastAsia="宋体" w:cs="Times New Roman"/>
                <w:color w:val="000000"/>
                <w:kern w:val="2"/>
                <w:sz w:val="21"/>
                <w:szCs w:val="21"/>
                <w:lang w:val="en-US" w:eastAsia="zh-CN" w:bidi="ar-SA"/>
              </w:rPr>
            </w:pPr>
          </w:p>
        </w:tc>
      </w:tr>
      <w:tr w14:paraId="488FB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4" w:hRule="atLeast"/>
        </w:trPr>
        <w:tc>
          <w:tcPr>
            <w:tcW w:w="512" w:type="dxa"/>
            <w:noWrap/>
            <w:tcMar>
              <w:top w:w="15" w:type="dxa"/>
              <w:left w:w="15" w:type="dxa"/>
              <w:bottom w:w="0" w:type="dxa"/>
              <w:right w:w="15" w:type="dxa"/>
            </w:tcMar>
            <w:vAlign w:val="center"/>
          </w:tcPr>
          <w:p w14:paraId="347BCB9C">
            <w:pPr>
              <w:jc w:val="center"/>
              <w:rPr>
                <w:rFonts w:hint="eastAsia"/>
                <w:color w:val="000000"/>
                <w:szCs w:val="21"/>
              </w:rPr>
            </w:pPr>
          </w:p>
        </w:tc>
        <w:tc>
          <w:tcPr>
            <w:tcW w:w="1524" w:type="dxa"/>
            <w:tcMar>
              <w:top w:w="15" w:type="dxa"/>
              <w:left w:w="15" w:type="dxa"/>
              <w:bottom w:w="0" w:type="dxa"/>
              <w:right w:w="15" w:type="dxa"/>
            </w:tcMar>
            <w:vAlign w:val="center"/>
          </w:tcPr>
          <w:p w14:paraId="08AB9867">
            <w:pPr>
              <w:jc w:val="center"/>
              <w:rPr>
                <w:rFonts w:hint="default" w:eastAsiaTheme="minorEastAsia"/>
                <w:color w:val="000000"/>
                <w:szCs w:val="21"/>
                <w:lang w:val="en-US" w:eastAsia="zh-CN"/>
              </w:rPr>
            </w:pPr>
            <w:r>
              <w:rPr>
                <w:rFonts w:hint="eastAsia"/>
                <w:color w:val="000000"/>
                <w:szCs w:val="21"/>
                <w:lang w:val="en-US" w:eastAsia="zh-CN"/>
              </w:rPr>
              <w:t>授权账户</w:t>
            </w:r>
          </w:p>
        </w:tc>
        <w:tc>
          <w:tcPr>
            <w:tcW w:w="6301" w:type="dxa"/>
            <w:tcMar>
              <w:top w:w="15" w:type="dxa"/>
              <w:left w:w="15" w:type="dxa"/>
              <w:bottom w:w="0" w:type="dxa"/>
              <w:right w:w="15" w:type="dxa"/>
            </w:tcMar>
            <w:vAlign w:val="center"/>
          </w:tcPr>
          <w:p w14:paraId="32FA8D11">
            <w:pPr>
              <w:pStyle w:val="17"/>
              <w:ind w:firstLine="0"/>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本次提供内外网数据摆渡授权账户500</w:t>
            </w:r>
          </w:p>
        </w:tc>
      </w:tr>
      <w:tr w14:paraId="68A8F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0" w:hRule="atLeast"/>
        </w:trPr>
        <w:tc>
          <w:tcPr>
            <w:tcW w:w="512" w:type="dxa"/>
            <w:noWrap/>
            <w:tcMar>
              <w:top w:w="15" w:type="dxa"/>
              <w:left w:w="15" w:type="dxa"/>
              <w:bottom w:w="0" w:type="dxa"/>
              <w:right w:w="15" w:type="dxa"/>
            </w:tcMar>
            <w:vAlign w:val="center"/>
          </w:tcPr>
          <w:p w14:paraId="32792573">
            <w:pPr>
              <w:jc w:val="center"/>
              <w:rPr>
                <w:color w:val="000000"/>
                <w:szCs w:val="21"/>
              </w:rPr>
            </w:pPr>
            <w:r>
              <w:rPr>
                <w:rFonts w:hint="eastAsia"/>
                <w:color w:val="000000"/>
                <w:szCs w:val="21"/>
              </w:rPr>
              <w:t>2</w:t>
            </w:r>
          </w:p>
        </w:tc>
        <w:tc>
          <w:tcPr>
            <w:tcW w:w="1524" w:type="dxa"/>
            <w:tcMar>
              <w:top w:w="15" w:type="dxa"/>
              <w:left w:w="15" w:type="dxa"/>
              <w:bottom w:w="0" w:type="dxa"/>
              <w:right w:w="15" w:type="dxa"/>
            </w:tcMar>
            <w:vAlign w:val="center"/>
          </w:tcPr>
          <w:p w14:paraId="05A67B58">
            <w:pPr>
              <w:jc w:val="center"/>
              <w:rPr>
                <w:color w:val="000000"/>
                <w:szCs w:val="21"/>
              </w:rPr>
            </w:pPr>
            <w:r>
              <w:rPr>
                <w:rFonts w:hint="eastAsia"/>
                <w:color w:val="000000"/>
                <w:szCs w:val="21"/>
              </w:rPr>
              <w:t>平台架构</w:t>
            </w:r>
          </w:p>
        </w:tc>
        <w:tc>
          <w:tcPr>
            <w:tcW w:w="6301" w:type="dxa"/>
            <w:tcMar>
              <w:top w:w="15" w:type="dxa"/>
              <w:left w:w="15" w:type="dxa"/>
              <w:bottom w:w="0" w:type="dxa"/>
              <w:right w:w="15" w:type="dxa"/>
            </w:tcMar>
            <w:vAlign w:val="center"/>
          </w:tcPr>
          <w:p w14:paraId="0223FE04">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平台应采用内外网节点分离形式，通过联动安全网闸，实现安全的跨网交换。</w:t>
            </w:r>
          </w:p>
        </w:tc>
      </w:tr>
      <w:tr w14:paraId="117CA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5" w:hRule="atLeast"/>
        </w:trPr>
        <w:tc>
          <w:tcPr>
            <w:tcW w:w="512" w:type="dxa"/>
            <w:noWrap/>
            <w:tcMar>
              <w:top w:w="15" w:type="dxa"/>
              <w:left w:w="15" w:type="dxa"/>
              <w:bottom w:w="0" w:type="dxa"/>
              <w:right w:w="15" w:type="dxa"/>
            </w:tcMar>
            <w:vAlign w:val="center"/>
          </w:tcPr>
          <w:p w14:paraId="6569B308">
            <w:pPr>
              <w:jc w:val="center"/>
              <w:rPr>
                <w:color w:val="000000"/>
                <w:szCs w:val="21"/>
              </w:rPr>
            </w:pPr>
            <w:r>
              <w:rPr>
                <w:rFonts w:hint="eastAsia"/>
                <w:color w:val="000000"/>
                <w:szCs w:val="21"/>
              </w:rPr>
              <w:t>3</w:t>
            </w:r>
          </w:p>
        </w:tc>
        <w:tc>
          <w:tcPr>
            <w:tcW w:w="1524" w:type="dxa"/>
            <w:vMerge w:val="restart"/>
            <w:tcMar>
              <w:top w:w="15" w:type="dxa"/>
              <w:left w:w="15" w:type="dxa"/>
              <w:bottom w:w="0" w:type="dxa"/>
              <w:right w:w="15" w:type="dxa"/>
            </w:tcMar>
            <w:vAlign w:val="center"/>
          </w:tcPr>
          <w:p w14:paraId="1010CEA1">
            <w:pPr>
              <w:jc w:val="center"/>
              <w:rPr>
                <w:color w:val="000000"/>
                <w:szCs w:val="21"/>
              </w:rPr>
            </w:pPr>
            <w:r>
              <w:rPr>
                <w:rFonts w:hint="eastAsia"/>
                <w:color w:val="000000"/>
                <w:szCs w:val="21"/>
              </w:rPr>
              <w:t>访问方式</w:t>
            </w:r>
          </w:p>
        </w:tc>
        <w:tc>
          <w:tcPr>
            <w:tcW w:w="6301" w:type="dxa"/>
            <w:tcMar>
              <w:top w:w="15" w:type="dxa"/>
              <w:left w:w="15" w:type="dxa"/>
              <w:bottom w:w="0" w:type="dxa"/>
              <w:right w:w="15" w:type="dxa"/>
            </w:tcMar>
            <w:vAlign w:val="center"/>
          </w:tcPr>
          <w:p w14:paraId="68908170">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我单位终端类型众多，为保障我单位用户均能访问系统，系统应支持多访问方式，包括但不限于web访问，客户端访问方式。</w:t>
            </w:r>
          </w:p>
        </w:tc>
      </w:tr>
      <w:tr w14:paraId="4EA5D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12" w:type="dxa"/>
            <w:noWrap/>
            <w:tcMar>
              <w:top w:w="15" w:type="dxa"/>
              <w:left w:w="15" w:type="dxa"/>
              <w:bottom w:w="0" w:type="dxa"/>
              <w:right w:w="15" w:type="dxa"/>
            </w:tcMar>
            <w:vAlign w:val="center"/>
          </w:tcPr>
          <w:p w14:paraId="70746A7D">
            <w:pPr>
              <w:jc w:val="center"/>
              <w:rPr>
                <w:color w:val="000000"/>
                <w:szCs w:val="21"/>
              </w:rPr>
            </w:pPr>
            <w:r>
              <w:rPr>
                <w:rFonts w:hint="eastAsia"/>
                <w:color w:val="000000"/>
                <w:szCs w:val="21"/>
              </w:rPr>
              <w:t>4</w:t>
            </w:r>
          </w:p>
        </w:tc>
        <w:tc>
          <w:tcPr>
            <w:tcW w:w="1524" w:type="dxa"/>
            <w:vMerge w:val="continue"/>
            <w:vAlign w:val="center"/>
          </w:tcPr>
          <w:p w14:paraId="635D76D4">
            <w:pPr>
              <w:rPr>
                <w:color w:val="000000"/>
                <w:szCs w:val="21"/>
              </w:rPr>
            </w:pPr>
          </w:p>
        </w:tc>
        <w:tc>
          <w:tcPr>
            <w:tcW w:w="6301" w:type="dxa"/>
            <w:tcMar>
              <w:top w:w="15" w:type="dxa"/>
              <w:left w:w="15" w:type="dxa"/>
              <w:bottom w:w="0" w:type="dxa"/>
              <w:right w:w="15" w:type="dxa"/>
            </w:tcMar>
            <w:vAlign w:val="center"/>
          </w:tcPr>
          <w:p w14:paraId="5FF997C2">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为了不改变我单位用户的使用习惯，系统应支持与我单位终端管理系统联动，用户可以直接通过终端小助手访问数据安全摆渡系统</w:t>
            </w:r>
          </w:p>
        </w:tc>
      </w:tr>
      <w:tr w14:paraId="2D34A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0" w:hRule="atLeast"/>
        </w:trPr>
        <w:tc>
          <w:tcPr>
            <w:tcW w:w="512" w:type="dxa"/>
            <w:noWrap/>
            <w:tcMar>
              <w:top w:w="15" w:type="dxa"/>
              <w:left w:w="15" w:type="dxa"/>
              <w:bottom w:w="0" w:type="dxa"/>
              <w:right w:w="15" w:type="dxa"/>
            </w:tcMar>
            <w:vAlign w:val="center"/>
          </w:tcPr>
          <w:p w14:paraId="3DC343C1">
            <w:pPr>
              <w:jc w:val="center"/>
              <w:rPr>
                <w:color w:val="000000"/>
                <w:szCs w:val="21"/>
              </w:rPr>
            </w:pPr>
            <w:r>
              <w:rPr>
                <w:rFonts w:hint="eastAsia"/>
                <w:color w:val="000000"/>
                <w:szCs w:val="21"/>
              </w:rPr>
              <w:t>5</w:t>
            </w:r>
          </w:p>
        </w:tc>
        <w:tc>
          <w:tcPr>
            <w:tcW w:w="1524" w:type="dxa"/>
            <w:vMerge w:val="continue"/>
            <w:vAlign w:val="center"/>
          </w:tcPr>
          <w:p w14:paraId="2C436605">
            <w:pPr>
              <w:rPr>
                <w:color w:val="000000"/>
                <w:szCs w:val="21"/>
              </w:rPr>
            </w:pPr>
          </w:p>
        </w:tc>
        <w:tc>
          <w:tcPr>
            <w:tcW w:w="6301" w:type="dxa"/>
            <w:tcMar>
              <w:top w:w="15" w:type="dxa"/>
              <w:left w:w="15" w:type="dxa"/>
              <w:bottom w:w="0" w:type="dxa"/>
              <w:right w:w="15" w:type="dxa"/>
            </w:tcMar>
            <w:vAlign w:val="center"/>
          </w:tcPr>
          <w:p w14:paraId="10A169DA">
            <w:pPr>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为了不改变我单位用户的使用习惯，系统应支持对接我单位现场第三方业务系统，可提供系统接口为第三方应用系统提供空间，可直接体现第三方业务应用数据管理功能；平台提供三方接口</w:t>
            </w:r>
          </w:p>
        </w:tc>
      </w:tr>
      <w:tr w14:paraId="18011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5" w:hRule="atLeast"/>
        </w:trPr>
        <w:tc>
          <w:tcPr>
            <w:tcW w:w="512" w:type="dxa"/>
            <w:noWrap/>
            <w:tcMar>
              <w:top w:w="15" w:type="dxa"/>
              <w:left w:w="15" w:type="dxa"/>
              <w:bottom w:w="0" w:type="dxa"/>
              <w:right w:w="15" w:type="dxa"/>
            </w:tcMar>
            <w:vAlign w:val="center"/>
          </w:tcPr>
          <w:p w14:paraId="4B6841D3">
            <w:pPr>
              <w:jc w:val="center"/>
              <w:rPr>
                <w:color w:val="000000"/>
                <w:szCs w:val="21"/>
              </w:rPr>
            </w:pPr>
            <w:r>
              <w:rPr>
                <w:rFonts w:hint="eastAsia"/>
                <w:color w:val="000000"/>
                <w:szCs w:val="21"/>
              </w:rPr>
              <w:t>6</w:t>
            </w:r>
          </w:p>
        </w:tc>
        <w:tc>
          <w:tcPr>
            <w:tcW w:w="1524" w:type="dxa"/>
            <w:tcMar>
              <w:top w:w="15" w:type="dxa"/>
              <w:left w:w="15" w:type="dxa"/>
              <w:bottom w:w="0" w:type="dxa"/>
              <w:right w:w="15" w:type="dxa"/>
            </w:tcMar>
            <w:vAlign w:val="center"/>
          </w:tcPr>
          <w:p w14:paraId="74300B70">
            <w:pPr>
              <w:jc w:val="center"/>
              <w:rPr>
                <w:color w:val="000000"/>
                <w:szCs w:val="21"/>
              </w:rPr>
            </w:pPr>
            <w:r>
              <w:rPr>
                <w:rFonts w:hint="eastAsia"/>
                <w:color w:val="000000"/>
                <w:szCs w:val="21"/>
              </w:rPr>
              <w:t>客户端</w:t>
            </w:r>
          </w:p>
        </w:tc>
        <w:tc>
          <w:tcPr>
            <w:tcW w:w="6301" w:type="dxa"/>
            <w:tcMar>
              <w:top w:w="15" w:type="dxa"/>
              <w:left w:w="15" w:type="dxa"/>
              <w:bottom w:w="0" w:type="dxa"/>
              <w:right w:w="15" w:type="dxa"/>
            </w:tcMar>
            <w:vAlign w:val="center"/>
          </w:tcPr>
          <w:p w14:paraId="51A7BDB5">
            <w:pPr>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支持跨平台应用客户端：windows、Linux、信创终端、IOS、Android客户端和Web网页方式访问，windows客户端支持本地磁盘形式访问并显示账户信息；</w:t>
            </w:r>
          </w:p>
        </w:tc>
      </w:tr>
      <w:tr w14:paraId="1F6B5D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12" w:type="dxa"/>
            <w:noWrap/>
            <w:tcMar>
              <w:top w:w="15" w:type="dxa"/>
              <w:left w:w="15" w:type="dxa"/>
              <w:bottom w:w="0" w:type="dxa"/>
              <w:right w:w="15" w:type="dxa"/>
            </w:tcMar>
            <w:vAlign w:val="center"/>
          </w:tcPr>
          <w:p w14:paraId="0277F177">
            <w:pPr>
              <w:jc w:val="center"/>
              <w:rPr>
                <w:color w:val="000000"/>
                <w:szCs w:val="21"/>
              </w:rPr>
            </w:pPr>
            <w:r>
              <w:rPr>
                <w:rFonts w:hint="eastAsia"/>
                <w:color w:val="000000"/>
                <w:szCs w:val="21"/>
              </w:rPr>
              <w:t>7</w:t>
            </w:r>
          </w:p>
        </w:tc>
        <w:tc>
          <w:tcPr>
            <w:tcW w:w="1524" w:type="dxa"/>
            <w:tcMar>
              <w:top w:w="15" w:type="dxa"/>
              <w:left w:w="15" w:type="dxa"/>
              <w:bottom w:w="0" w:type="dxa"/>
              <w:right w:w="15" w:type="dxa"/>
            </w:tcMar>
            <w:vAlign w:val="center"/>
          </w:tcPr>
          <w:p w14:paraId="0535D170">
            <w:pPr>
              <w:jc w:val="center"/>
              <w:rPr>
                <w:color w:val="000000"/>
                <w:szCs w:val="21"/>
              </w:rPr>
            </w:pPr>
            <w:r>
              <w:rPr>
                <w:rFonts w:hint="eastAsia"/>
                <w:color w:val="000000"/>
                <w:szCs w:val="21"/>
              </w:rPr>
              <w:t>数据存储</w:t>
            </w:r>
          </w:p>
        </w:tc>
        <w:tc>
          <w:tcPr>
            <w:tcW w:w="6301" w:type="dxa"/>
            <w:tcMar>
              <w:top w:w="15" w:type="dxa"/>
              <w:left w:w="15" w:type="dxa"/>
              <w:bottom w:w="0" w:type="dxa"/>
              <w:right w:w="15" w:type="dxa"/>
            </w:tcMar>
            <w:vAlign w:val="center"/>
          </w:tcPr>
          <w:p w14:paraId="3CE3C52B">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为了确保数据传输过程不会被窃取，所有客户端、网页应支持基于SSL的加密传输，不以明文存储数据。</w:t>
            </w:r>
          </w:p>
        </w:tc>
      </w:tr>
      <w:tr w14:paraId="5231E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8" w:hRule="atLeast"/>
        </w:trPr>
        <w:tc>
          <w:tcPr>
            <w:tcW w:w="512" w:type="dxa"/>
            <w:noWrap/>
            <w:tcMar>
              <w:top w:w="15" w:type="dxa"/>
              <w:left w:w="15" w:type="dxa"/>
              <w:bottom w:w="0" w:type="dxa"/>
              <w:right w:w="15" w:type="dxa"/>
            </w:tcMar>
            <w:vAlign w:val="center"/>
          </w:tcPr>
          <w:p w14:paraId="5DCCB468">
            <w:pPr>
              <w:jc w:val="center"/>
              <w:rPr>
                <w:color w:val="000000"/>
                <w:szCs w:val="21"/>
              </w:rPr>
            </w:pPr>
            <w:r>
              <w:rPr>
                <w:rFonts w:hint="eastAsia"/>
                <w:color w:val="000000"/>
                <w:szCs w:val="21"/>
              </w:rPr>
              <w:t>8</w:t>
            </w:r>
          </w:p>
        </w:tc>
        <w:tc>
          <w:tcPr>
            <w:tcW w:w="1524" w:type="dxa"/>
            <w:tcMar>
              <w:top w:w="15" w:type="dxa"/>
              <w:left w:w="15" w:type="dxa"/>
              <w:bottom w:w="0" w:type="dxa"/>
              <w:right w:w="15" w:type="dxa"/>
            </w:tcMar>
            <w:vAlign w:val="center"/>
          </w:tcPr>
          <w:p w14:paraId="21B14D66">
            <w:pPr>
              <w:jc w:val="center"/>
              <w:rPr>
                <w:color w:val="000000"/>
                <w:szCs w:val="21"/>
              </w:rPr>
            </w:pPr>
            <w:r>
              <w:rPr>
                <w:rFonts w:hint="eastAsia"/>
                <w:color w:val="000000"/>
                <w:szCs w:val="21"/>
              </w:rPr>
              <w:t>计算存储</w:t>
            </w:r>
          </w:p>
        </w:tc>
        <w:tc>
          <w:tcPr>
            <w:tcW w:w="6301" w:type="dxa"/>
            <w:tcMar>
              <w:top w:w="15" w:type="dxa"/>
              <w:left w:w="15" w:type="dxa"/>
              <w:bottom w:w="0" w:type="dxa"/>
              <w:right w:w="15" w:type="dxa"/>
            </w:tcMar>
            <w:vAlign w:val="center"/>
          </w:tcPr>
          <w:p w14:paraId="12B08970">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提升读写性能，保障数据存储的安全性，系统应内置计算存储引擎，可以对上传的文件切片并加密存储，防止后台恶意获取文件，同时，计算引擎可以为用户提供断点续传，文件去重存储能力，提升用户体验，减轻存储压力。</w:t>
            </w:r>
          </w:p>
        </w:tc>
      </w:tr>
      <w:tr w14:paraId="1541E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12" w:type="dxa"/>
            <w:noWrap/>
            <w:tcMar>
              <w:top w:w="15" w:type="dxa"/>
              <w:left w:w="15" w:type="dxa"/>
              <w:bottom w:w="0" w:type="dxa"/>
              <w:right w:w="15" w:type="dxa"/>
            </w:tcMar>
            <w:vAlign w:val="center"/>
          </w:tcPr>
          <w:p w14:paraId="4DB72B0E">
            <w:pPr>
              <w:jc w:val="center"/>
              <w:rPr>
                <w:color w:val="000000"/>
                <w:szCs w:val="21"/>
              </w:rPr>
            </w:pPr>
            <w:r>
              <w:rPr>
                <w:rFonts w:hint="eastAsia"/>
                <w:color w:val="000000"/>
                <w:szCs w:val="21"/>
              </w:rPr>
              <w:t>9</w:t>
            </w:r>
          </w:p>
        </w:tc>
        <w:tc>
          <w:tcPr>
            <w:tcW w:w="1524" w:type="dxa"/>
            <w:vMerge w:val="restart"/>
            <w:tcMar>
              <w:top w:w="15" w:type="dxa"/>
              <w:left w:w="15" w:type="dxa"/>
              <w:bottom w:w="0" w:type="dxa"/>
              <w:right w:w="15" w:type="dxa"/>
            </w:tcMar>
            <w:vAlign w:val="center"/>
          </w:tcPr>
          <w:p w14:paraId="22B4B826">
            <w:pPr>
              <w:jc w:val="center"/>
              <w:rPr>
                <w:color w:val="000000"/>
                <w:szCs w:val="21"/>
              </w:rPr>
            </w:pPr>
            <w:r>
              <w:rPr>
                <w:rFonts w:hint="eastAsia"/>
                <w:color w:val="000000"/>
                <w:szCs w:val="21"/>
              </w:rPr>
              <w:t>用户管理</w:t>
            </w:r>
          </w:p>
        </w:tc>
        <w:tc>
          <w:tcPr>
            <w:tcW w:w="6301" w:type="dxa"/>
            <w:tcMar>
              <w:top w:w="15" w:type="dxa"/>
              <w:left w:w="15" w:type="dxa"/>
              <w:bottom w:w="0" w:type="dxa"/>
              <w:right w:w="15" w:type="dxa"/>
            </w:tcMar>
            <w:vAlign w:val="center"/>
          </w:tcPr>
          <w:p w14:paraId="3E135658">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支持手动创建用户、使用模板导入用户、域用户认证、LDAP认证、第三方认证系统（企微、钉钉、飞书等）以及集成用户单点登录系统</w:t>
            </w:r>
          </w:p>
        </w:tc>
      </w:tr>
      <w:tr w14:paraId="6FD01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512" w:type="dxa"/>
            <w:noWrap/>
            <w:tcMar>
              <w:top w:w="15" w:type="dxa"/>
              <w:left w:w="15" w:type="dxa"/>
              <w:bottom w:w="0" w:type="dxa"/>
              <w:right w:w="15" w:type="dxa"/>
            </w:tcMar>
            <w:vAlign w:val="center"/>
          </w:tcPr>
          <w:p w14:paraId="3421E693">
            <w:pPr>
              <w:jc w:val="center"/>
              <w:rPr>
                <w:color w:val="000000"/>
                <w:szCs w:val="21"/>
              </w:rPr>
            </w:pPr>
            <w:r>
              <w:rPr>
                <w:rFonts w:hint="eastAsia"/>
                <w:color w:val="000000"/>
                <w:szCs w:val="21"/>
              </w:rPr>
              <w:t>10</w:t>
            </w:r>
          </w:p>
        </w:tc>
        <w:tc>
          <w:tcPr>
            <w:tcW w:w="1524" w:type="dxa"/>
            <w:vMerge w:val="continue"/>
            <w:vAlign w:val="center"/>
          </w:tcPr>
          <w:p w14:paraId="03F7A346">
            <w:pPr>
              <w:rPr>
                <w:color w:val="000000"/>
                <w:szCs w:val="21"/>
              </w:rPr>
            </w:pPr>
          </w:p>
        </w:tc>
        <w:tc>
          <w:tcPr>
            <w:tcW w:w="6301" w:type="dxa"/>
            <w:tcMar>
              <w:top w:w="15" w:type="dxa"/>
              <w:left w:w="15" w:type="dxa"/>
              <w:bottom w:w="0" w:type="dxa"/>
              <w:right w:w="15" w:type="dxa"/>
            </w:tcMar>
            <w:vAlign w:val="center"/>
          </w:tcPr>
          <w:p w14:paraId="0BFEB4E6">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支持通过激活和取消激活的方式对用户账户进行控制，实现用户授权的灵活分配。</w:t>
            </w:r>
          </w:p>
        </w:tc>
      </w:tr>
      <w:tr w14:paraId="4A6EA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512" w:type="dxa"/>
            <w:noWrap/>
            <w:tcMar>
              <w:top w:w="15" w:type="dxa"/>
              <w:left w:w="15" w:type="dxa"/>
              <w:bottom w:w="0" w:type="dxa"/>
              <w:right w:w="15" w:type="dxa"/>
            </w:tcMar>
            <w:vAlign w:val="center"/>
          </w:tcPr>
          <w:p w14:paraId="285CEE2D">
            <w:pPr>
              <w:jc w:val="center"/>
              <w:rPr>
                <w:color w:val="000000"/>
                <w:szCs w:val="21"/>
              </w:rPr>
            </w:pPr>
            <w:r>
              <w:rPr>
                <w:rFonts w:hint="eastAsia"/>
                <w:color w:val="000000"/>
                <w:szCs w:val="21"/>
              </w:rPr>
              <w:t>11</w:t>
            </w:r>
          </w:p>
        </w:tc>
        <w:tc>
          <w:tcPr>
            <w:tcW w:w="1524" w:type="dxa"/>
            <w:vMerge w:val="continue"/>
            <w:vAlign w:val="center"/>
          </w:tcPr>
          <w:p w14:paraId="3F748982">
            <w:pPr>
              <w:rPr>
                <w:color w:val="000000"/>
                <w:szCs w:val="21"/>
              </w:rPr>
            </w:pPr>
          </w:p>
        </w:tc>
        <w:tc>
          <w:tcPr>
            <w:tcW w:w="6301" w:type="dxa"/>
            <w:tcMar>
              <w:top w:w="15" w:type="dxa"/>
              <w:left w:w="15" w:type="dxa"/>
              <w:bottom w:w="0" w:type="dxa"/>
              <w:right w:w="15" w:type="dxa"/>
            </w:tcMar>
            <w:vAlign w:val="center"/>
          </w:tcPr>
          <w:p w14:paraId="5349815F">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支持本地账户、第三方认证系统、域控等混合场景下用户源对接，解决多账户来源用户，不同账户体系的混合使用，打破单一账户源的限制。</w:t>
            </w:r>
          </w:p>
        </w:tc>
      </w:tr>
      <w:tr w14:paraId="69A29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512" w:type="dxa"/>
            <w:noWrap/>
            <w:tcMar>
              <w:top w:w="15" w:type="dxa"/>
              <w:left w:w="15" w:type="dxa"/>
              <w:bottom w:w="0" w:type="dxa"/>
              <w:right w:w="15" w:type="dxa"/>
            </w:tcMar>
            <w:vAlign w:val="center"/>
          </w:tcPr>
          <w:p w14:paraId="1267785A">
            <w:pPr>
              <w:jc w:val="center"/>
              <w:rPr>
                <w:color w:val="000000"/>
                <w:szCs w:val="21"/>
              </w:rPr>
            </w:pPr>
            <w:r>
              <w:rPr>
                <w:rFonts w:hint="eastAsia"/>
                <w:color w:val="000000"/>
                <w:szCs w:val="21"/>
              </w:rPr>
              <w:t>12</w:t>
            </w:r>
          </w:p>
        </w:tc>
        <w:tc>
          <w:tcPr>
            <w:tcW w:w="1524" w:type="dxa"/>
            <w:vMerge w:val="restart"/>
            <w:tcMar>
              <w:top w:w="15" w:type="dxa"/>
              <w:left w:w="15" w:type="dxa"/>
              <w:bottom w:w="0" w:type="dxa"/>
              <w:right w:w="15" w:type="dxa"/>
            </w:tcMar>
            <w:vAlign w:val="center"/>
          </w:tcPr>
          <w:p w14:paraId="24020939">
            <w:pPr>
              <w:jc w:val="center"/>
              <w:rPr>
                <w:color w:val="000000"/>
                <w:szCs w:val="21"/>
              </w:rPr>
            </w:pPr>
            <w:r>
              <w:rPr>
                <w:rFonts w:hint="eastAsia"/>
                <w:color w:val="000000"/>
                <w:szCs w:val="21"/>
              </w:rPr>
              <w:t>日志管理</w:t>
            </w:r>
          </w:p>
        </w:tc>
        <w:tc>
          <w:tcPr>
            <w:tcW w:w="6301" w:type="dxa"/>
            <w:tcMar>
              <w:top w:w="15" w:type="dxa"/>
              <w:left w:w="15" w:type="dxa"/>
              <w:bottom w:w="0" w:type="dxa"/>
              <w:right w:w="15" w:type="dxa"/>
            </w:tcMar>
            <w:vAlign w:val="center"/>
          </w:tcPr>
          <w:p w14:paraId="19668F84">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用户登录：可根据指定账户、时间范围等条件查询最近一个月的用户登录日志（时间、账号名、登录IP、登录方式）</w:t>
            </w:r>
          </w:p>
        </w:tc>
      </w:tr>
      <w:tr w14:paraId="303CC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512" w:type="dxa"/>
            <w:noWrap/>
            <w:tcMar>
              <w:top w:w="15" w:type="dxa"/>
              <w:left w:w="15" w:type="dxa"/>
              <w:bottom w:w="0" w:type="dxa"/>
              <w:right w:w="15" w:type="dxa"/>
            </w:tcMar>
            <w:vAlign w:val="center"/>
          </w:tcPr>
          <w:p w14:paraId="70621E6C">
            <w:pPr>
              <w:jc w:val="center"/>
              <w:rPr>
                <w:color w:val="000000"/>
                <w:szCs w:val="21"/>
              </w:rPr>
            </w:pPr>
            <w:r>
              <w:rPr>
                <w:rFonts w:hint="eastAsia"/>
                <w:color w:val="000000"/>
                <w:szCs w:val="21"/>
              </w:rPr>
              <w:t>13</w:t>
            </w:r>
          </w:p>
        </w:tc>
        <w:tc>
          <w:tcPr>
            <w:tcW w:w="1524" w:type="dxa"/>
            <w:vMerge w:val="continue"/>
            <w:vAlign w:val="center"/>
          </w:tcPr>
          <w:p w14:paraId="173358C4">
            <w:pPr>
              <w:rPr>
                <w:color w:val="000000"/>
                <w:szCs w:val="21"/>
              </w:rPr>
            </w:pPr>
          </w:p>
        </w:tc>
        <w:tc>
          <w:tcPr>
            <w:tcW w:w="6301" w:type="dxa"/>
            <w:tcMar>
              <w:top w:w="15" w:type="dxa"/>
              <w:left w:w="15" w:type="dxa"/>
              <w:bottom w:w="0" w:type="dxa"/>
              <w:right w:w="15" w:type="dxa"/>
            </w:tcMar>
            <w:vAlign w:val="center"/>
          </w:tcPr>
          <w:p w14:paraId="1BE0A72D">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文件操作：可根据指定账户、时间范围、IP地址、审计类型（文件授权、上传&amp;新建、重命名、下载、预览、复制、移动、版本、删除&amp;还原、外链）等条件查询用户操作日志，支持报表导出。</w:t>
            </w:r>
          </w:p>
        </w:tc>
      </w:tr>
      <w:tr w14:paraId="62165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512" w:type="dxa"/>
            <w:noWrap/>
            <w:tcMar>
              <w:top w:w="15" w:type="dxa"/>
              <w:left w:w="15" w:type="dxa"/>
              <w:bottom w:w="0" w:type="dxa"/>
              <w:right w:w="15" w:type="dxa"/>
            </w:tcMar>
            <w:vAlign w:val="center"/>
          </w:tcPr>
          <w:p w14:paraId="01F0EFBD">
            <w:pPr>
              <w:jc w:val="center"/>
              <w:rPr>
                <w:color w:val="000000"/>
                <w:szCs w:val="21"/>
              </w:rPr>
            </w:pPr>
            <w:r>
              <w:rPr>
                <w:rFonts w:hint="eastAsia"/>
                <w:color w:val="000000"/>
                <w:szCs w:val="21"/>
              </w:rPr>
              <w:t>14</w:t>
            </w:r>
          </w:p>
        </w:tc>
        <w:tc>
          <w:tcPr>
            <w:tcW w:w="1524" w:type="dxa"/>
            <w:vMerge w:val="continue"/>
            <w:vAlign w:val="center"/>
          </w:tcPr>
          <w:p w14:paraId="4102CC20">
            <w:pPr>
              <w:rPr>
                <w:color w:val="000000"/>
                <w:szCs w:val="21"/>
              </w:rPr>
            </w:pPr>
          </w:p>
        </w:tc>
        <w:tc>
          <w:tcPr>
            <w:tcW w:w="6301" w:type="dxa"/>
            <w:tcMar>
              <w:top w:w="15" w:type="dxa"/>
              <w:left w:w="15" w:type="dxa"/>
              <w:bottom w:w="0" w:type="dxa"/>
              <w:right w:w="15" w:type="dxa"/>
            </w:tcMar>
            <w:vAlign w:val="center"/>
          </w:tcPr>
          <w:p w14:paraId="62FBAB40">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后台可直接体现用户登录审计、用户操作日志功能，可体现具体操作审计内容。</w:t>
            </w:r>
          </w:p>
        </w:tc>
      </w:tr>
      <w:tr w14:paraId="43924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0" w:hRule="atLeast"/>
        </w:trPr>
        <w:tc>
          <w:tcPr>
            <w:tcW w:w="512" w:type="dxa"/>
            <w:noWrap/>
            <w:tcMar>
              <w:top w:w="15" w:type="dxa"/>
              <w:left w:w="15" w:type="dxa"/>
              <w:bottom w:w="0" w:type="dxa"/>
              <w:right w:w="15" w:type="dxa"/>
            </w:tcMar>
            <w:vAlign w:val="center"/>
          </w:tcPr>
          <w:p w14:paraId="420769FC">
            <w:pPr>
              <w:jc w:val="center"/>
              <w:rPr>
                <w:color w:val="000000"/>
                <w:szCs w:val="21"/>
              </w:rPr>
            </w:pPr>
            <w:r>
              <w:rPr>
                <w:rFonts w:hint="eastAsia"/>
                <w:color w:val="000000"/>
                <w:szCs w:val="21"/>
              </w:rPr>
              <w:t>15</w:t>
            </w:r>
          </w:p>
        </w:tc>
        <w:tc>
          <w:tcPr>
            <w:tcW w:w="1524" w:type="dxa"/>
            <w:tcMar>
              <w:top w:w="15" w:type="dxa"/>
              <w:left w:w="15" w:type="dxa"/>
              <w:bottom w:w="0" w:type="dxa"/>
              <w:right w:w="15" w:type="dxa"/>
            </w:tcMar>
            <w:vAlign w:val="center"/>
          </w:tcPr>
          <w:p w14:paraId="303ACC9F">
            <w:pPr>
              <w:jc w:val="center"/>
              <w:rPr>
                <w:color w:val="000000"/>
                <w:szCs w:val="21"/>
              </w:rPr>
            </w:pPr>
            <w:r>
              <w:rPr>
                <w:rFonts w:hint="eastAsia"/>
                <w:color w:val="000000"/>
                <w:szCs w:val="21"/>
              </w:rPr>
              <w:t>文档管理体系</w:t>
            </w:r>
          </w:p>
        </w:tc>
        <w:tc>
          <w:tcPr>
            <w:tcW w:w="6301" w:type="dxa"/>
            <w:tcMar>
              <w:top w:w="15" w:type="dxa"/>
              <w:left w:w="15" w:type="dxa"/>
              <w:bottom w:w="0" w:type="dxa"/>
              <w:right w:w="15" w:type="dxa"/>
            </w:tcMar>
            <w:vAlign w:val="center"/>
          </w:tcPr>
          <w:p w14:paraId="5F5B1911">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梳理我单位终端文档数据，系统支持空间分区，提供共享空间、个人空间、个人交换空间。个人办公的过程性文档存放在个人空间中，方便文件的随时读取；单位档案文件、规章制度等数字资产存放到共享空间里面，可实现文件的安全管理、存储备份、访问权限控制；跨网交换的文件存储在交换空间里，可实现跨网文件的集中管理、历史记录查看。</w:t>
            </w:r>
          </w:p>
        </w:tc>
      </w:tr>
      <w:tr w14:paraId="2D814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12" w:type="dxa"/>
            <w:noWrap/>
            <w:tcMar>
              <w:top w:w="15" w:type="dxa"/>
              <w:left w:w="15" w:type="dxa"/>
              <w:bottom w:w="0" w:type="dxa"/>
              <w:right w:w="15" w:type="dxa"/>
            </w:tcMar>
            <w:vAlign w:val="center"/>
          </w:tcPr>
          <w:p w14:paraId="142B693F">
            <w:pPr>
              <w:jc w:val="center"/>
              <w:rPr>
                <w:color w:val="000000"/>
                <w:szCs w:val="21"/>
              </w:rPr>
            </w:pPr>
            <w:r>
              <w:rPr>
                <w:rFonts w:hint="eastAsia"/>
                <w:color w:val="000000"/>
                <w:szCs w:val="21"/>
              </w:rPr>
              <w:t>16</w:t>
            </w:r>
          </w:p>
        </w:tc>
        <w:tc>
          <w:tcPr>
            <w:tcW w:w="1524" w:type="dxa"/>
            <w:tcMar>
              <w:top w:w="15" w:type="dxa"/>
              <w:left w:w="15" w:type="dxa"/>
              <w:bottom w:w="0" w:type="dxa"/>
              <w:right w:w="15" w:type="dxa"/>
            </w:tcMar>
            <w:vAlign w:val="center"/>
          </w:tcPr>
          <w:p w14:paraId="404C93BA">
            <w:pPr>
              <w:jc w:val="center"/>
              <w:rPr>
                <w:color w:val="000000"/>
                <w:szCs w:val="21"/>
              </w:rPr>
            </w:pPr>
            <w:r>
              <w:rPr>
                <w:rFonts w:hint="eastAsia"/>
                <w:color w:val="000000"/>
                <w:szCs w:val="21"/>
              </w:rPr>
              <w:t>三员管理</w:t>
            </w:r>
          </w:p>
        </w:tc>
        <w:tc>
          <w:tcPr>
            <w:tcW w:w="6301" w:type="dxa"/>
            <w:tcMar>
              <w:top w:w="15" w:type="dxa"/>
              <w:left w:w="15" w:type="dxa"/>
              <w:bottom w:w="0" w:type="dxa"/>
              <w:right w:w="15" w:type="dxa"/>
            </w:tcMar>
            <w:vAlign w:val="center"/>
          </w:tcPr>
          <w:p w14:paraId="586445C3">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为满足数据安全管理要求，系统管理权限三权分立：系统管理员、安全管理员、审计管理员，相互制约，以此来保证数据安全。</w:t>
            </w:r>
          </w:p>
        </w:tc>
      </w:tr>
      <w:tr w14:paraId="4BDED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0" w:hRule="atLeast"/>
        </w:trPr>
        <w:tc>
          <w:tcPr>
            <w:tcW w:w="512" w:type="dxa"/>
            <w:noWrap/>
            <w:tcMar>
              <w:top w:w="15" w:type="dxa"/>
              <w:left w:w="15" w:type="dxa"/>
              <w:bottom w:w="0" w:type="dxa"/>
              <w:right w:w="15" w:type="dxa"/>
            </w:tcMar>
            <w:vAlign w:val="center"/>
          </w:tcPr>
          <w:p w14:paraId="1888415E">
            <w:pPr>
              <w:jc w:val="center"/>
              <w:rPr>
                <w:color w:val="000000"/>
                <w:szCs w:val="21"/>
              </w:rPr>
            </w:pPr>
            <w:r>
              <w:rPr>
                <w:rFonts w:hint="eastAsia"/>
                <w:color w:val="000000"/>
                <w:szCs w:val="21"/>
              </w:rPr>
              <w:t>17</w:t>
            </w:r>
          </w:p>
        </w:tc>
        <w:tc>
          <w:tcPr>
            <w:tcW w:w="1524" w:type="dxa"/>
            <w:vMerge w:val="restart"/>
            <w:tcMar>
              <w:top w:w="15" w:type="dxa"/>
              <w:left w:w="15" w:type="dxa"/>
              <w:bottom w:w="0" w:type="dxa"/>
              <w:right w:w="15" w:type="dxa"/>
            </w:tcMar>
            <w:vAlign w:val="center"/>
          </w:tcPr>
          <w:p w14:paraId="668561D5">
            <w:pPr>
              <w:jc w:val="center"/>
              <w:rPr>
                <w:color w:val="000000"/>
                <w:szCs w:val="21"/>
              </w:rPr>
            </w:pPr>
            <w:r>
              <w:rPr>
                <w:rFonts w:hint="eastAsia"/>
                <w:color w:val="000000"/>
                <w:szCs w:val="21"/>
              </w:rPr>
              <w:t>审核管理</w:t>
            </w:r>
          </w:p>
        </w:tc>
        <w:tc>
          <w:tcPr>
            <w:tcW w:w="6301" w:type="dxa"/>
            <w:tcMar>
              <w:top w:w="15" w:type="dxa"/>
              <w:left w:w="15" w:type="dxa"/>
              <w:bottom w:w="0" w:type="dxa"/>
              <w:right w:w="15" w:type="dxa"/>
            </w:tcMar>
            <w:vAlign w:val="center"/>
          </w:tcPr>
          <w:p w14:paraId="2ED115FC">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支持用户对文件权限不足时，用户在操作界面可直接申请文档权限，通过审批流程后自动获取到申请的权限；</w:t>
            </w:r>
          </w:p>
        </w:tc>
      </w:tr>
      <w:tr w14:paraId="34AB30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512" w:type="dxa"/>
            <w:noWrap/>
            <w:tcMar>
              <w:top w:w="15" w:type="dxa"/>
              <w:left w:w="15" w:type="dxa"/>
              <w:bottom w:w="0" w:type="dxa"/>
              <w:right w:w="15" w:type="dxa"/>
            </w:tcMar>
            <w:vAlign w:val="center"/>
          </w:tcPr>
          <w:p w14:paraId="4A81BDEA">
            <w:pPr>
              <w:jc w:val="center"/>
              <w:rPr>
                <w:color w:val="000000"/>
                <w:szCs w:val="21"/>
              </w:rPr>
            </w:pPr>
            <w:r>
              <w:rPr>
                <w:rFonts w:hint="eastAsia"/>
                <w:color w:val="000000"/>
                <w:szCs w:val="21"/>
              </w:rPr>
              <w:t>18</w:t>
            </w:r>
          </w:p>
        </w:tc>
        <w:tc>
          <w:tcPr>
            <w:tcW w:w="1524" w:type="dxa"/>
            <w:vMerge w:val="continue"/>
            <w:vAlign w:val="center"/>
          </w:tcPr>
          <w:p w14:paraId="5E5641F5">
            <w:pPr>
              <w:rPr>
                <w:color w:val="000000"/>
                <w:szCs w:val="21"/>
              </w:rPr>
            </w:pPr>
          </w:p>
        </w:tc>
        <w:tc>
          <w:tcPr>
            <w:tcW w:w="6301" w:type="dxa"/>
            <w:tcMar>
              <w:top w:w="15" w:type="dxa"/>
              <w:left w:w="15" w:type="dxa"/>
              <w:bottom w:w="0" w:type="dxa"/>
              <w:right w:w="15" w:type="dxa"/>
            </w:tcMar>
            <w:vAlign w:val="center"/>
          </w:tcPr>
          <w:p w14:paraId="484728F8">
            <w:pPr>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可实现基于用户流程的自定义审批流程功能，包括对权限审批的自定义申请流程。支持权限申请流程、文件外发申请流程、文件发布申请流程、跨网交换申请流程。可根据不同的申请流程指定不同的审核部门。</w:t>
            </w:r>
          </w:p>
        </w:tc>
      </w:tr>
      <w:tr w14:paraId="1CA79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512" w:type="dxa"/>
            <w:noWrap/>
            <w:tcMar>
              <w:top w:w="15" w:type="dxa"/>
              <w:left w:w="15" w:type="dxa"/>
              <w:bottom w:w="0" w:type="dxa"/>
              <w:right w:w="15" w:type="dxa"/>
            </w:tcMar>
            <w:vAlign w:val="center"/>
          </w:tcPr>
          <w:p w14:paraId="67AA7BF0">
            <w:pPr>
              <w:jc w:val="center"/>
              <w:rPr>
                <w:color w:val="000000"/>
                <w:szCs w:val="21"/>
              </w:rPr>
            </w:pPr>
            <w:r>
              <w:rPr>
                <w:rFonts w:hint="eastAsia"/>
                <w:color w:val="000000"/>
                <w:szCs w:val="21"/>
              </w:rPr>
              <w:t>19</w:t>
            </w:r>
          </w:p>
        </w:tc>
        <w:tc>
          <w:tcPr>
            <w:tcW w:w="1524" w:type="dxa"/>
            <w:tcMar>
              <w:top w:w="15" w:type="dxa"/>
              <w:left w:w="15" w:type="dxa"/>
              <w:bottom w:w="0" w:type="dxa"/>
              <w:right w:w="15" w:type="dxa"/>
            </w:tcMar>
            <w:vAlign w:val="center"/>
          </w:tcPr>
          <w:p w14:paraId="67C37188">
            <w:pPr>
              <w:jc w:val="center"/>
              <w:rPr>
                <w:color w:val="000000"/>
                <w:szCs w:val="21"/>
              </w:rPr>
            </w:pPr>
            <w:r>
              <w:rPr>
                <w:rFonts w:hint="eastAsia"/>
                <w:color w:val="000000"/>
                <w:szCs w:val="21"/>
              </w:rPr>
              <w:t>外链分享</w:t>
            </w:r>
          </w:p>
        </w:tc>
        <w:tc>
          <w:tcPr>
            <w:tcW w:w="6301" w:type="dxa"/>
            <w:tcMar>
              <w:top w:w="15" w:type="dxa"/>
              <w:left w:w="15" w:type="dxa"/>
              <w:bottom w:w="0" w:type="dxa"/>
              <w:right w:w="15" w:type="dxa"/>
            </w:tcMar>
            <w:vAlign w:val="center"/>
          </w:tcPr>
          <w:p w14:paraId="4C92FD4A">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个人文件可支持分享功能，能够实现单位内部指定人员分享及链接分享，能够对分享内容设置分享有效期及访问密码，设置分享内容的访问者预览、下载等权限，以及支持个人文件分享审批流程功能；采用链接分享时支持限制下载次数、下载支持显示管理员指定水印内容、支持统计分享链接的阅读/访问人数、链接下载总次数、链接阅读/访问总时长等信息。</w:t>
            </w:r>
          </w:p>
        </w:tc>
      </w:tr>
      <w:tr w14:paraId="44276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512" w:type="dxa"/>
            <w:noWrap/>
            <w:tcMar>
              <w:top w:w="15" w:type="dxa"/>
              <w:left w:w="15" w:type="dxa"/>
              <w:bottom w:w="0" w:type="dxa"/>
              <w:right w:w="15" w:type="dxa"/>
            </w:tcMar>
            <w:vAlign w:val="center"/>
          </w:tcPr>
          <w:p w14:paraId="59F835CC">
            <w:pPr>
              <w:jc w:val="center"/>
              <w:rPr>
                <w:color w:val="000000"/>
                <w:szCs w:val="21"/>
              </w:rPr>
            </w:pPr>
            <w:r>
              <w:rPr>
                <w:rFonts w:hint="eastAsia"/>
                <w:color w:val="000000"/>
                <w:szCs w:val="21"/>
              </w:rPr>
              <w:t>20</w:t>
            </w:r>
          </w:p>
        </w:tc>
        <w:tc>
          <w:tcPr>
            <w:tcW w:w="1524" w:type="dxa"/>
            <w:vMerge w:val="restart"/>
            <w:tcMar>
              <w:top w:w="15" w:type="dxa"/>
              <w:left w:w="15" w:type="dxa"/>
              <w:bottom w:w="0" w:type="dxa"/>
              <w:right w:w="15" w:type="dxa"/>
            </w:tcMar>
            <w:vAlign w:val="center"/>
          </w:tcPr>
          <w:p w14:paraId="7DFF3FD8">
            <w:pPr>
              <w:jc w:val="center"/>
              <w:rPr>
                <w:color w:val="000000"/>
                <w:szCs w:val="21"/>
              </w:rPr>
            </w:pPr>
            <w:r>
              <w:rPr>
                <w:rFonts w:hint="eastAsia"/>
                <w:color w:val="000000"/>
                <w:szCs w:val="21"/>
              </w:rPr>
              <w:t>在线文件编辑预览</w:t>
            </w:r>
          </w:p>
        </w:tc>
        <w:tc>
          <w:tcPr>
            <w:tcW w:w="6301" w:type="dxa"/>
            <w:tcMar>
              <w:top w:w="15" w:type="dxa"/>
              <w:left w:w="15" w:type="dxa"/>
              <w:bottom w:w="0" w:type="dxa"/>
              <w:right w:w="15" w:type="dxa"/>
            </w:tcMar>
            <w:vAlign w:val="center"/>
          </w:tcPr>
          <w:p w14:paraId="37FF1EFF">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用户可以在线编辑系统中存储的文档，包括WORD、EXCEL、PPT 等文件。</w:t>
            </w:r>
          </w:p>
        </w:tc>
      </w:tr>
      <w:tr w14:paraId="3933D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512" w:type="dxa"/>
            <w:noWrap/>
            <w:tcMar>
              <w:top w:w="15" w:type="dxa"/>
              <w:left w:w="15" w:type="dxa"/>
              <w:bottom w:w="0" w:type="dxa"/>
              <w:right w:w="15" w:type="dxa"/>
            </w:tcMar>
            <w:vAlign w:val="center"/>
          </w:tcPr>
          <w:p w14:paraId="3C7708F4">
            <w:pPr>
              <w:jc w:val="center"/>
              <w:rPr>
                <w:color w:val="000000"/>
                <w:szCs w:val="21"/>
              </w:rPr>
            </w:pPr>
            <w:r>
              <w:rPr>
                <w:rFonts w:hint="eastAsia"/>
                <w:color w:val="000000"/>
                <w:szCs w:val="21"/>
              </w:rPr>
              <w:t>21</w:t>
            </w:r>
          </w:p>
        </w:tc>
        <w:tc>
          <w:tcPr>
            <w:tcW w:w="1524" w:type="dxa"/>
            <w:vMerge w:val="continue"/>
            <w:vAlign w:val="center"/>
          </w:tcPr>
          <w:p w14:paraId="79A0D9EC">
            <w:pPr>
              <w:rPr>
                <w:color w:val="000000"/>
                <w:szCs w:val="21"/>
              </w:rPr>
            </w:pPr>
          </w:p>
        </w:tc>
        <w:tc>
          <w:tcPr>
            <w:tcW w:w="6301" w:type="dxa"/>
            <w:tcMar>
              <w:top w:w="15" w:type="dxa"/>
              <w:left w:w="15" w:type="dxa"/>
              <w:bottom w:w="0" w:type="dxa"/>
              <w:right w:w="15" w:type="dxa"/>
            </w:tcMar>
            <w:vAlign w:val="center"/>
          </w:tcPr>
          <w:p w14:paraId="2387E97E">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支持多种格式在线预览Office全系列、图片、PDF等。</w:t>
            </w:r>
          </w:p>
        </w:tc>
      </w:tr>
      <w:tr w14:paraId="201756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12" w:type="dxa"/>
            <w:noWrap/>
            <w:tcMar>
              <w:top w:w="15" w:type="dxa"/>
              <w:left w:w="15" w:type="dxa"/>
              <w:bottom w:w="0" w:type="dxa"/>
              <w:right w:w="15" w:type="dxa"/>
            </w:tcMar>
            <w:vAlign w:val="center"/>
          </w:tcPr>
          <w:p w14:paraId="50676E20">
            <w:pPr>
              <w:jc w:val="center"/>
              <w:rPr>
                <w:color w:val="000000"/>
                <w:szCs w:val="21"/>
              </w:rPr>
            </w:pPr>
            <w:r>
              <w:rPr>
                <w:rFonts w:hint="eastAsia"/>
                <w:color w:val="000000"/>
                <w:szCs w:val="21"/>
              </w:rPr>
              <w:t>22</w:t>
            </w:r>
          </w:p>
        </w:tc>
        <w:tc>
          <w:tcPr>
            <w:tcW w:w="1524" w:type="dxa"/>
            <w:vMerge w:val="continue"/>
            <w:vAlign w:val="center"/>
          </w:tcPr>
          <w:p w14:paraId="2DDF0403">
            <w:pPr>
              <w:rPr>
                <w:color w:val="000000"/>
                <w:szCs w:val="21"/>
              </w:rPr>
            </w:pPr>
          </w:p>
        </w:tc>
        <w:tc>
          <w:tcPr>
            <w:tcW w:w="6301" w:type="dxa"/>
            <w:tcMar>
              <w:top w:w="15" w:type="dxa"/>
              <w:left w:w="15" w:type="dxa"/>
              <w:bottom w:w="0" w:type="dxa"/>
              <w:right w:w="15" w:type="dxa"/>
            </w:tcMar>
            <w:vAlign w:val="center"/>
          </w:tcPr>
          <w:p w14:paraId="25BCE50D">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系统应内置动态水印生成引擎，用户在预览、在线编辑文件时能显示部门、名称和自定义信息，防止截屏、拍照泄露信息。</w:t>
            </w:r>
          </w:p>
        </w:tc>
      </w:tr>
      <w:tr w14:paraId="6A2E0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2" w:hRule="atLeast"/>
        </w:trPr>
        <w:tc>
          <w:tcPr>
            <w:tcW w:w="512" w:type="dxa"/>
            <w:noWrap/>
            <w:tcMar>
              <w:top w:w="15" w:type="dxa"/>
              <w:left w:w="15" w:type="dxa"/>
              <w:bottom w:w="0" w:type="dxa"/>
              <w:right w:w="15" w:type="dxa"/>
            </w:tcMar>
            <w:vAlign w:val="center"/>
          </w:tcPr>
          <w:p w14:paraId="2F2A3AC0">
            <w:pPr>
              <w:jc w:val="center"/>
              <w:rPr>
                <w:color w:val="000000"/>
                <w:szCs w:val="21"/>
              </w:rPr>
            </w:pPr>
            <w:r>
              <w:rPr>
                <w:rFonts w:hint="eastAsia"/>
                <w:color w:val="000000"/>
                <w:szCs w:val="21"/>
              </w:rPr>
              <w:t>23</w:t>
            </w:r>
          </w:p>
        </w:tc>
        <w:tc>
          <w:tcPr>
            <w:tcW w:w="1524" w:type="dxa"/>
            <w:tcMar>
              <w:top w:w="15" w:type="dxa"/>
              <w:left w:w="15" w:type="dxa"/>
              <w:bottom w:w="0" w:type="dxa"/>
              <w:right w:w="15" w:type="dxa"/>
            </w:tcMar>
            <w:vAlign w:val="center"/>
          </w:tcPr>
          <w:p w14:paraId="74520C63">
            <w:pPr>
              <w:jc w:val="center"/>
              <w:rPr>
                <w:color w:val="000000"/>
                <w:szCs w:val="21"/>
              </w:rPr>
            </w:pPr>
            <w:r>
              <w:rPr>
                <w:rFonts w:hint="eastAsia"/>
                <w:color w:val="000000"/>
                <w:szCs w:val="21"/>
              </w:rPr>
              <w:t>权限管理</w:t>
            </w:r>
          </w:p>
        </w:tc>
        <w:tc>
          <w:tcPr>
            <w:tcW w:w="6301" w:type="dxa"/>
            <w:tcMar>
              <w:top w:w="15" w:type="dxa"/>
              <w:left w:w="15" w:type="dxa"/>
              <w:bottom w:w="0" w:type="dxa"/>
              <w:right w:w="15" w:type="dxa"/>
            </w:tcMar>
            <w:vAlign w:val="center"/>
          </w:tcPr>
          <w:p w14:paraId="0EAC8828">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支持对文件及文件夹进行11种权限管理，包括文件查看、创建目录、文件删除、文件重命名、文件上传、文件预览、在线编辑、版本回滚、文件移动、文件下载、文件授权。</w:t>
            </w:r>
          </w:p>
        </w:tc>
      </w:tr>
      <w:tr w14:paraId="3657C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2" w:hRule="atLeast"/>
        </w:trPr>
        <w:tc>
          <w:tcPr>
            <w:tcW w:w="512" w:type="dxa"/>
            <w:noWrap/>
            <w:tcMar>
              <w:top w:w="15" w:type="dxa"/>
              <w:left w:w="15" w:type="dxa"/>
              <w:bottom w:w="0" w:type="dxa"/>
              <w:right w:w="15" w:type="dxa"/>
            </w:tcMar>
            <w:vAlign w:val="center"/>
          </w:tcPr>
          <w:p w14:paraId="4A61238F">
            <w:pPr>
              <w:jc w:val="center"/>
              <w:rPr>
                <w:color w:val="000000"/>
                <w:szCs w:val="21"/>
              </w:rPr>
            </w:pPr>
            <w:r>
              <w:rPr>
                <w:rFonts w:hint="eastAsia"/>
                <w:color w:val="000000"/>
                <w:szCs w:val="21"/>
              </w:rPr>
              <w:t>24</w:t>
            </w:r>
          </w:p>
        </w:tc>
        <w:tc>
          <w:tcPr>
            <w:tcW w:w="1524" w:type="dxa"/>
            <w:tcMar>
              <w:top w:w="15" w:type="dxa"/>
              <w:left w:w="15" w:type="dxa"/>
              <w:bottom w:w="0" w:type="dxa"/>
              <w:right w:w="15" w:type="dxa"/>
            </w:tcMar>
            <w:vAlign w:val="center"/>
          </w:tcPr>
          <w:p w14:paraId="31A082FF">
            <w:pPr>
              <w:jc w:val="center"/>
              <w:rPr>
                <w:color w:val="000000"/>
                <w:szCs w:val="21"/>
              </w:rPr>
            </w:pPr>
            <w:r>
              <w:rPr>
                <w:rFonts w:hint="eastAsia"/>
                <w:color w:val="000000"/>
                <w:szCs w:val="21"/>
              </w:rPr>
              <w:t>权限看板</w:t>
            </w:r>
          </w:p>
        </w:tc>
        <w:tc>
          <w:tcPr>
            <w:tcW w:w="6301" w:type="dxa"/>
            <w:tcMar>
              <w:top w:w="15" w:type="dxa"/>
              <w:left w:w="15" w:type="dxa"/>
              <w:bottom w:w="0" w:type="dxa"/>
              <w:right w:w="15" w:type="dxa"/>
            </w:tcMar>
            <w:vAlign w:val="center"/>
          </w:tcPr>
          <w:p w14:paraId="26B0828F">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提供权限看板功能，通过权限看板功能，管理员可查看用户在前台各空间下文件夹的权限情况，多级文件夹情况下支持逐级查看。并且可以在查看界面对用户的权限复制给其他指定用户。</w:t>
            </w:r>
          </w:p>
        </w:tc>
      </w:tr>
      <w:tr w14:paraId="4A8E6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512" w:type="dxa"/>
            <w:noWrap/>
            <w:tcMar>
              <w:top w:w="15" w:type="dxa"/>
              <w:left w:w="15" w:type="dxa"/>
              <w:bottom w:w="0" w:type="dxa"/>
              <w:right w:w="15" w:type="dxa"/>
            </w:tcMar>
            <w:vAlign w:val="center"/>
          </w:tcPr>
          <w:p w14:paraId="5AE3BCC7">
            <w:pPr>
              <w:jc w:val="center"/>
              <w:rPr>
                <w:color w:val="000000"/>
                <w:szCs w:val="21"/>
              </w:rPr>
            </w:pPr>
            <w:r>
              <w:rPr>
                <w:rFonts w:hint="eastAsia"/>
                <w:color w:val="000000"/>
                <w:szCs w:val="21"/>
              </w:rPr>
              <w:t>25</w:t>
            </w:r>
          </w:p>
        </w:tc>
        <w:tc>
          <w:tcPr>
            <w:tcW w:w="1524" w:type="dxa"/>
            <w:tcMar>
              <w:top w:w="15" w:type="dxa"/>
              <w:left w:w="15" w:type="dxa"/>
              <w:bottom w:w="0" w:type="dxa"/>
              <w:right w:w="15" w:type="dxa"/>
            </w:tcMar>
            <w:vAlign w:val="center"/>
          </w:tcPr>
          <w:p w14:paraId="5BF6464D">
            <w:pPr>
              <w:jc w:val="center"/>
              <w:rPr>
                <w:color w:val="000000"/>
                <w:szCs w:val="21"/>
              </w:rPr>
            </w:pPr>
            <w:r>
              <w:rPr>
                <w:rFonts w:hint="eastAsia"/>
                <w:color w:val="000000"/>
                <w:szCs w:val="21"/>
              </w:rPr>
              <w:t>版本管理</w:t>
            </w:r>
          </w:p>
        </w:tc>
        <w:tc>
          <w:tcPr>
            <w:tcW w:w="6301" w:type="dxa"/>
            <w:tcMar>
              <w:top w:w="15" w:type="dxa"/>
              <w:left w:w="15" w:type="dxa"/>
              <w:bottom w:w="0" w:type="dxa"/>
              <w:right w:w="15" w:type="dxa"/>
            </w:tcMar>
            <w:vAlign w:val="center"/>
          </w:tcPr>
          <w:p w14:paraId="1ECFC775">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系统应支持文件版本管理、版本回滚功能。</w:t>
            </w:r>
          </w:p>
        </w:tc>
      </w:tr>
      <w:tr w14:paraId="60235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2" w:hRule="atLeast"/>
        </w:trPr>
        <w:tc>
          <w:tcPr>
            <w:tcW w:w="512" w:type="dxa"/>
            <w:noWrap/>
            <w:tcMar>
              <w:top w:w="15" w:type="dxa"/>
              <w:left w:w="15" w:type="dxa"/>
              <w:bottom w:w="0" w:type="dxa"/>
              <w:right w:w="15" w:type="dxa"/>
            </w:tcMar>
            <w:vAlign w:val="center"/>
          </w:tcPr>
          <w:p w14:paraId="16D22B64">
            <w:pPr>
              <w:jc w:val="center"/>
              <w:rPr>
                <w:color w:val="000000"/>
                <w:szCs w:val="21"/>
              </w:rPr>
            </w:pPr>
            <w:r>
              <w:rPr>
                <w:rFonts w:hint="eastAsia"/>
                <w:color w:val="000000"/>
                <w:szCs w:val="21"/>
              </w:rPr>
              <w:t>26</w:t>
            </w:r>
          </w:p>
        </w:tc>
        <w:tc>
          <w:tcPr>
            <w:tcW w:w="1524" w:type="dxa"/>
            <w:tcMar>
              <w:top w:w="15" w:type="dxa"/>
              <w:left w:w="15" w:type="dxa"/>
              <w:bottom w:w="0" w:type="dxa"/>
              <w:right w:w="15" w:type="dxa"/>
            </w:tcMar>
            <w:vAlign w:val="center"/>
          </w:tcPr>
          <w:p w14:paraId="086EAF3B">
            <w:pPr>
              <w:jc w:val="center"/>
              <w:rPr>
                <w:color w:val="000000"/>
                <w:szCs w:val="21"/>
              </w:rPr>
            </w:pPr>
            <w:r>
              <w:rPr>
                <w:rFonts w:hint="eastAsia"/>
                <w:color w:val="000000"/>
                <w:szCs w:val="21"/>
              </w:rPr>
              <w:t>文件上传控制</w:t>
            </w:r>
          </w:p>
        </w:tc>
        <w:tc>
          <w:tcPr>
            <w:tcW w:w="6301" w:type="dxa"/>
            <w:tcMar>
              <w:top w:w="15" w:type="dxa"/>
              <w:left w:w="15" w:type="dxa"/>
              <w:bottom w:w="0" w:type="dxa"/>
              <w:right w:w="15" w:type="dxa"/>
            </w:tcMar>
            <w:vAlign w:val="center"/>
          </w:tcPr>
          <w:p w14:paraId="032647C9">
            <w:pPr>
              <w:pStyle w:val="7"/>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对上传摆渡系统文件进行基于文件类型的黑白名单控制，可控制的文件类型包括但不限于文档类型、视频音频、压缩包、图片、病毒文件、其他等，系统内置6大类常规文件类型、Pdf、word、txt、docx、等常见的文件格式等文件格式库，同时支持扩展自定义文件类型。此功能需提供产品功能截图。</w:t>
            </w:r>
          </w:p>
        </w:tc>
      </w:tr>
      <w:tr w14:paraId="7988C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512" w:type="dxa"/>
            <w:noWrap/>
            <w:tcMar>
              <w:top w:w="15" w:type="dxa"/>
              <w:left w:w="15" w:type="dxa"/>
              <w:bottom w:w="0" w:type="dxa"/>
              <w:right w:w="15" w:type="dxa"/>
            </w:tcMar>
            <w:vAlign w:val="center"/>
          </w:tcPr>
          <w:p w14:paraId="22FB6356">
            <w:pPr>
              <w:jc w:val="center"/>
              <w:rPr>
                <w:color w:val="000000"/>
                <w:szCs w:val="21"/>
              </w:rPr>
            </w:pPr>
            <w:r>
              <w:rPr>
                <w:rFonts w:hint="eastAsia"/>
                <w:color w:val="000000"/>
                <w:szCs w:val="21"/>
              </w:rPr>
              <w:t>27</w:t>
            </w:r>
          </w:p>
        </w:tc>
        <w:tc>
          <w:tcPr>
            <w:tcW w:w="1524" w:type="dxa"/>
            <w:vMerge w:val="restart"/>
            <w:tcMar>
              <w:top w:w="15" w:type="dxa"/>
              <w:left w:w="15" w:type="dxa"/>
              <w:bottom w:w="0" w:type="dxa"/>
              <w:right w:w="15" w:type="dxa"/>
            </w:tcMar>
            <w:vAlign w:val="center"/>
          </w:tcPr>
          <w:p w14:paraId="01768A5C">
            <w:pPr>
              <w:jc w:val="center"/>
              <w:rPr>
                <w:color w:val="000000"/>
                <w:szCs w:val="21"/>
              </w:rPr>
            </w:pPr>
            <w:r>
              <w:rPr>
                <w:rFonts w:hint="eastAsia"/>
                <w:color w:val="000000"/>
                <w:szCs w:val="21"/>
              </w:rPr>
              <w:t>回收站管理</w:t>
            </w:r>
          </w:p>
        </w:tc>
        <w:tc>
          <w:tcPr>
            <w:tcW w:w="6301" w:type="dxa"/>
            <w:tcMar>
              <w:top w:w="15" w:type="dxa"/>
              <w:left w:w="15" w:type="dxa"/>
              <w:bottom w:w="0" w:type="dxa"/>
              <w:right w:w="15" w:type="dxa"/>
            </w:tcMar>
            <w:vAlign w:val="center"/>
          </w:tcPr>
          <w:p w14:paraId="2A2B7B9F">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系统支持个人空间回收站、共享空间回收站等功能，并支持回收站数据定期清理，帮助用户清除无用数据释放存储空间；当用户发生误删除操作时，可通过回收站进行数据恢复操作。</w:t>
            </w:r>
          </w:p>
        </w:tc>
      </w:tr>
      <w:tr w14:paraId="3A8D6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512" w:type="dxa"/>
            <w:noWrap/>
            <w:tcMar>
              <w:top w:w="15" w:type="dxa"/>
              <w:left w:w="15" w:type="dxa"/>
              <w:bottom w:w="0" w:type="dxa"/>
              <w:right w:w="15" w:type="dxa"/>
            </w:tcMar>
            <w:vAlign w:val="center"/>
          </w:tcPr>
          <w:p w14:paraId="47AB6BE1">
            <w:pPr>
              <w:jc w:val="center"/>
              <w:rPr>
                <w:color w:val="000000"/>
                <w:szCs w:val="21"/>
              </w:rPr>
            </w:pPr>
            <w:r>
              <w:rPr>
                <w:rFonts w:hint="eastAsia"/>
                <w:color w:val="000000"/>
                <w:szCs w:val="21"/>
              </w:rPr>
              <w:t>28</w:t>
            </w:r>
          </w:p>
        </w:tc>
        <w:tc>
          <w:tcPr>
            <w:tcW w:w="1524" w:type="dxa"/>
            <w:vMerge w:val="continue"/>
            <w:vAlign w:val="center"/>
          </w:tcPr>
          <w:p w14:paraId="30CC79AF">
            <w:pPr>
              <w:rPr>
                <w:color w:val="000000"/>
                <w:szCs w:val="21"/>
              </w:rPr>
            </w:pPr>
          </w:p>
        </w:tc>
        <w:tc>
          <w:tcPr>
            <w:tcW w:w="6301" w:type="dxa"/>
            <w:tcMar>
              <w:top w:w="15" w:type="dxa"/>
              <w:left w:w="15" w:type="dxa"/>
              <w:bottom w:w="0" w:type="dxa"/>
              <w:right w:w="15" w:type="dxa"/>
            </w:tcMar>
            <w:vAlign w:val="center"/>
          </w:tcPr>
          <w:p w14:paraId="0654B8ED">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为避免占用用户交换空间资源，系统支持对收件箱进行定期清理；同时为避免文件误清理，系统支持一二级回收站，文件误删除时能够在一二级回收站进行文件还原找回。此功能需提供产品功能截图。</w:t>
            </w:r>
          </w:p>
        </w:tc>
      </w:tr>
      <w:tr w14:paraId="5FCAF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3" w:hRule="atLeast"/>
        </w:trPr>
        <w:tc>
          <w:tcPr>
            <w:tcW w:w="512" w:type="dxa"/>
            <w:noWrap/>
            <w:tcMar>
              <w:top w:w="15" w:type="dxa"/>
              <w:left w:w="15" w:type="dxa"/>
              <w:bottom w:w="0" w:type="dxa"/>
              <w:right w:w="15" w:type="dxa"/>
            </w:tcMar>
            <w:vAlign w:val="center"/>
          </w:tcPr>
          <w:p w14:paraId="7DA99D85">
            <w:pPr>
              <w:jc w:val="center"/>
              <w:rPr>
                <w:color w:val="000000"/>
                <w:szCs w:val="21"/>
              </w:rPr>
            </w:pPr>
            <w:r>
              <w:rPr>
                <w:rFonts w:hint="eastAsia"/>
                <w:color w:val="000000"/>
                <w:szCs w:val="21"/>
              </w:rPr>
              <w:t>29</w:t>
            </w:r>
          </w:p>
        </w:tc>
        <w:tc>
          <w:tcPr>
            <w:tcW w:w="1524" w:type="dxa"/>
            <w:vMerge w:val="restart"/>
            <w:tcMar>
              <w:top w:w="15" w:type="dxa"/>
              <w:left w:w="15" w:type="dxa"/>
              <w:bottom w:w="0" w:type="dxa"/>
              <w:right w:w="15" w:type="dxa"/>
            </w:tcMar>
            <w:vAlign w:val="center"/>
          </w:tcPr>
          <w:p w14:paraId="06C151CB">
            <w:pPr>
              <w:jc w:val="center"/>
              <w:rPr>
                <w:color w:val="000000"/>
                <w:szCs w:val="21"/>
              </w:rPr>
            </w:pPr>
            <w:r>
              <w:rPr>
                <w:rFonts w:hint="eastAsia"/>
                <w:color w:val="000000"/>
                <w:szCs w:val="21"/>
              </w:rPr>
              <w:t>跨网文件安全交换</w:t>
            </w:r>
          </w:p>
        </w:tc>
        <w:tc>
          <w:tcPr>
            <w:tcW w:w="6301" w:type="dxa"/>
            <w:tcMar>
              <w:top w:w="15" w:type="dxa"/>
              <w:left w:w="15" w:type="dxa"/>
              <w:bottom w:w="0" w:type="dxa"/>
              <w:right w:w="15" w:type="dxa"/>
            </w:tcMar>
            <w:vAlign w:val="center"/>
          </w:tcPr>
          <w:p w14:paraId="0BBD17D8">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系统支持内外网交换功能开关，支持文件安全交换审核、发件箱自动触发流程、文件安全交换范围、删除发件箱文件等功能。支持文件交换敏感字符检测</w:t>
            </w:r>
          </w:p>
        </w:tc>
      </w:tr>
      <w:tr w14:paraId="7ADB7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2" w:hRule="atLeast"/>
        </w:trPr>
        <w:tc>
          <w:tcPr>
            <w:tcW w:w="512" w:type="dxa"/>
            <w:noWrap/>
            <w:tcMar>
              <w:top w:w="15" w:type="dxa"/>
              <w:left w:w="15" w:type="dxa"/>
              <w:bottom w:w="0" w:type="dxa"/>
              <w:right w:w="15" w:type="dxa"/>
            </w:tcMar>
            <w:vAlign w:val="center"/>
          </w:tcPr>
          <w:p w14:paraId="7A0A7F22">
            <w:pPr>
              <w:jc w:val="center"/>
              <w:rPr>
                <w:color w:val="000000"/>
                <w:szCs w:val="21"/>
              </w:rPr>
            </w:pPr>
            <w:r>
              <w:rPr>
                <w:rFonts w:hint="eastAsia"/>
                <w:color w:val="000000"/>
                <w:szCs w:val="21"/>
              </w:rPr>
              <w:t>30</w:t>
            </w:r>
          </w:p>
        </w:tc>
        <w:tc>
          <w:tcPr>
            <w:tcW w:w="1524" w:type="dxa"/>
            <w:vMerge w:val="continue"/>
            <w:vAlign w:val="center"/>
          </w:tcPr>
          <w:p w14:paraId="5A840AD5">
            <w:pPr>
              <w:rPr>
                <w:color w:val="000000"/>
                <w:szCs w:val="21"/>
              </w:rPr>
            </w:pPr>
          </w:p>
        </w:tc>
        <w:tc>
          <w:tcPr>
            <w:tcW w:w="6301" w:type="dxa"/>
            <w:tcMar>
              <w:top w:w="15" w:type="dxa"/>
              <w:left w:w="15" w:type="dxa"/>
              <w:bottom w:w="0" w:type="dxa"/>
              <w:right w:w="15" w:type="dxa"/>
            </w:tcMar>
            <w:vAlign w:val="center"/>
          </w:tcPr>
          <w:p w14:paraId="020010BC">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方便我单位用户快速完成文件跨网交换，系统应提供自交换和投递两种模式，自交换：用户将文件上传至收件箱可以自动触发跨网交换；投递模式：定向投递模式，用户可以指定收件人定向发送文件，此功能需提供产品功能截图，可直接体现功能描述要求。</w:t>
            </w:r>
          </w:p>
        </w:tc>
      </w:tr>
      <w:tr w14:paraId="1BE91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2" w:hRule="atLeast"/>
        </w:trPr>
        <w:tc>
          <w:tcPr>
            <w:tcW w:w="512" w:type="dxa"/>
            <w:noWrap/>
            <w:tcMar>
              <w:top w:w="15" w:type="dxa"/>
              <w:left w:w="15" w:type="dxa"/>
              <w:bottom w:w="0" w:type="dxa"/>
              <w:right w:w="15" w:type="dxa"/>
            </w:tcMar>
            <w:vAlign w:val="center"/>
          </w:tcPr>
          <w:p w14:paraId="5F7B2810">
            <w:pPr>
              <w:jc w:val="center"/>
              <w:rPr>
                <w:color w:val="000000"/>
                <w:szCs w:val="21"/>
              </w:rPr>
            </w:pPr>
            <w:r>
              <w:rPr>
                <w:rFonts w:hint="eastAsia"/>
                <w:color w:val="000000"/>
                <w:szCs w:val="21"/>
              </w:rPr>
              <w:t>31</w:t>
            </w:r>
          </w:p>
        </w:tc>
        <w:tc>
          <w:tcPr>
            <w:tcW w:w="1524" w:type="dxa"/>
            <w:tcMar>
              <w:top w:w="15" w:type="dxa"/>
              <w:left w:w="15" w:type="dxa"/>
              <w:bottom w:w="0" w:type="dxa"/>
              <w:right w:w="15" w:type="dxa"/>
            </w:tcMar>
            <w:vAlign w:val="center"/>
          </w:tcPr>
          <w:p w14:paraId="16891F20">
            <w:pPr>
              <w:jc w:val="center"/>
              <w:rPr>
                <w:color w:val="000000"/>
                <w:szCs w:val="21"/>
              </w:rPr>
            </w:pPr>
            <w:r>
              <w:rPr>
                <w:rFonts w:hint="eastAsia"/>
                <w:color w:val="000000"/>
                <w:szCs w:val="21"/>
              </w:rPr>
              <w:t>维护模式</w:t>
            </w:r>
          </w:p>
        </w:tc>
        <w:tc>
          <w:tcPr>
            <w:tcW w:w="6301" w:type="dxa"/>
            <w:tcMar>
              <w:top w:w="15" w:type="dxa"/>
              <w:left w:w="15" w:type="dxa"/>
              <w:bottom w:w="0" w:type="dxa"/>
              <w:right w:w="15" w:type="dxa"/>
            </w:tcMar>
            <w:vAlign w:val="center"/>
          </w:tcPr>
          <w:p w14:paraId="1EF05418">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支持维护模式开关，启用维护模式后在系统进行升级维护操作时能够禁止用户登录，并在登录页面提示用户当前系统处于维护状态暂停使用，避免因升级维护时仍有用户使用系统，导致出现文件访问异常、上传下载异常等情况。此功能需提供产品功能截图，可直接体现功能描述要求。</w:t>
            </w:r>
          </w:p>
        </w:tc>
      </w:tr>
      <w:tr w14:paraId="03701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512" w:type="dxa"/>
            <w:noWrap/>
            <w:tcMar>
              <w:top w:w="15" w:type="dxa"/>
              <w:left w:w="15" w:type="dxa"/>
              <w:bottom w:w="0" w:type="dxa"/>
              <w:right w:w="15" w:type="dxa"/>
            </w:tcMar>
            <w:vAlign w:val="center"/>
          </w:tcPr>
          <w:p w14:paraId="3CEB8623">
            <w:pPr>
              <w:jc w:val="center"/>
              <w:rPr>
                <w:color w:val="000000"/>
                <w:szCs w:val="21"/>
              </w:rPr>
            </w:pPr>
            <w:r>
              <w:rPr>
                <w:rFonts w:hint="eastAsia"/>
                <w:color w:val="000000"/>
                <w:szCs w:val="21"/>
              </w:rPr>
              <w:t>32</w:t>
            </w:r>
          </w:p>
        </w:tc>
        <w:tc>
          <w:tcPr>
            <w:tcW w:w="1524" w:type="dxa"/>
            <w:tcMar>
              <w:top w:w="15" w:type="dxa"/>
              <w:left w:w="15" w:type="dxa"/>
              <w:bottom w:w="0" w:type="dxa"/>
              <w:right w:w="15" w:type="dxa"/>
            </w:tcMar>
            <w:vAlign w:val="center"/>
          </w:tcPr>
          <w:p w14:paraId="61A7C60F">
            <w:pPr>
              <w:jc w:val="center"/>
              <w:rPr>
                <w:color w:val="000000"/>
                <w:szCs w:val="21"/>
              </w:rPr>
            </w:pPr>
            <w:r>
              <w:rPr>
                <w:rFonts w:hint="eastAsia"/>
                <w:color w:val="000000"/>
                <w:szCs w:val="21"/>
              </w:rPr>
              <w:t>备份管理</w:t>
            </w:r>
          </w:p>
        </w:tc>
        <w:tc>
          <w:tcPr>
            <w:tcW w:w="6301" w:type="dxa"/>
            <w:tcMar>
              <w:top w:w="15" w:type="dxa"/>
              <w:left w:w="15" w:type="dxa"/>
              <w:bottom w:w="0" w:type="dxa"/>
              <w:right w:w="15" w:type="dxa"/>
            </w:tcMar>
            <w:vAlign w:val="center"/>
          </w:tcPr>
          <w:p w14:paraId="12786018">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系统自带备份功能，支持将系统数据通过全量、增量备份方式备份数据库及数据。</w:t>
            </w:r>
          </w:p>
        </w:tc>
      </w:tr>
      <w:tr w14:paraId="2ECEC9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12" w:type="dxa"/>
            <w:tcBorders>
              <w:bottom w:val="single" w:color="000000" w:sz="4" w:space="0"/>
            </w:tcBorders>
            <w:noWrap/>
            <w:tcMar>
              <w:top w:w="15" w:type="dxa"/>
              <w:left w:w="15" w:type="dxa"/>
              <w:bottom w:w="0" w:type="dxa"/>
              <w:right w:w="15" w:type="dxa"/>
            </w:tcMar>
            <w:vAlign w:val="center"/>
          </w:tcPr>
          <w:p w14:paraId="033EAF81">
            <w:pPr>
              <w:jc w:val="center"/>
              <w:rPr>
                <w:color w:val="000000"/>
                <w:szCs w:val="21"/>
              </w:rPr>
            </w:pPr>
            <w:r>
              <w:rPr>
                <w:rFonts w:hint="eastAsia"/>
                <w:color w:val="000000"/>
                <w:szCs w:val="21"/>
              </w:rPr>
              <w:t>33</w:t>
            </w:r>
          </w:p>
        </w:tc>
        <w:tc>
          <w:tcPr>
            <w:tcW w:w="1524" w:type="dxa"/>
            <w:tcBorders>
              <w:bottom w:val="single" w:color="000000" w:sz="4" w:space="0"/>
            </w:tcBorders>
            <w:tcMar>
              <w:top w:w="15" w:type="dxa"/>
              <w:left w:w="15" w:type="dxa"/>
              <w:bottom w:w="0" w:type="dxa"/>
              <w:right w:w="15" w:type="dxa"/>
            </w:tcMar>
            <w:vAlign w:val="center"/>
          </w:tcPr>
          <w:p w14:paraId="55A612F2">
            <w:pPr>
              <w:jc w:val="center"/>
              <w:rPr>
                <w:color w:val="000000"/>
                <w:szCs w:val="21"/>
              </w:rPr>
            </w:pPr>
            <w:r>
              <w:rPr>
                <w:rFonts w:hint="eastAsia"/>
                <w:color w:val="000000"/>
                <w:szCs w:val="21"/>
              </w:rPr>
              <w:t>敏感文件外发管理</w:t>
            </w:r>
          </w:p>
        </w:tc>
        <w:tc>
          <w:tcPr>
            <w:tcW w:w="6301" w:type="dxa"/>
            <w:tcBorders>
              <w:bottom w:val="single" w:color="000000" w:sz="4" w:space="0"/>
            </w:tcBorders>
            <w:tcMar>
              <w:top w:w="15" w:type="dxa"/>
              <w:left w:w="15" w:type="dxa"/>
              <w:bottom w:w="0" w:type="dxa"/>
              <w:right w:w="15" w:type="dxa"/>
            </w:tcMar>
            <w:vAlign w:val="center"/>
          </w:tcPr>
          <w:p w14:paraId="553AC84E">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可实现对单一文件加密、设置访问密码、绑定主机码等知悉范围的控制功能，可设置文件使用期限、打开次数、是否允许打印等，提供外发访问客户端。</w:t>
            </w:r>
          </w:p>
        </w:tc>
      </w:tr>
      <w:tr w14:paraId="44A81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5" w:hRule="atLeast"/>
        </w:trPr>
        <w:tc>
          <w:tcPr>
            <w:tcW w:w="512" w:type="dxa"/>
            <w:tcBorders>
              <w:bottom w:val="nil"/>
            </w:tcBorders>
            <w:noWrap/>
            <w:tcMar>
              <w:top w:w="15" w:type="dxa"/>
              <w:left w:w="15" w:type="dxa"/>
              <w:bottom w:w="0" w:type="dxa"/>
              <w:right w:w="15" w:type="dxa"/>
            </w:tcMar>
            <w:vAlign w:val="center"/>
          </w:tcPr>
          <w:p w14:paraId="26D11445">
            <w:pPr>
              <w:jc w:val="center"/>
              <w:rPr>
                <w:color w:val="000000"/>
                <w:szCs w:val="21"/>
              </w:rPr>
            </w:pPr>
            <w:r>
              <w:rPr>
                <w:rFonts w:hint="eastAsia"/>
                <w:color w:val="000000"/>
                <w:szCs w:val="21"/>
              </w:rPr>
              <w:t>34</w:t>
            </w:r>
          </w:p>
        </w:tc>
        <w:tc>
          <w:tcPr>
            <w:tcW w:w="1524" w:type="dxa"/>
            <w:tcBorders>
              <w:bottom w:val="nil"/>
            </w:tcBorders>
            <w:tcMar>
              <w:top w:w="15" w:type="dxa"/>
              <w:left w:w="15" w:type="dxa"/>
              <w:bottom w:w="0" w:type="dxa"/>
              <w:right w:w="15" w:type="dxa"/>
            </w:tcMar>
            <w:vAlign w:val="center"/>
          </w:tcPr>
          <w:p w14:paraId="44C293FC">
            <w:pPr>
              <w:jc w:val="center"/>
              <w:rPr>
                <w:color w:val="000000"/>
                <w:szCs w:val="21"/>
              </w:rPr>
            </w:pPr>
            <w:r>
              <w:rPr>
                <w:rFonts w:hint="eastAsia"/>
                <w:color w:val="000000"/>
                <w:szCs w:val="21"/>
              </w:rPr>
              <w:t>全文检索</w:t>
            </w:r>
          </w:p>
        </w:tc>
        <w:tc>
          <w:tcPr>
            <w:tcW w:w="6301" w:type="dxa"/>
            <w:tcBorders>
              <w:bottom w:val="nil"/>
            </w:tcBorders>
            <w:tcMar>
              <w:top w:w="15" w:type="dxa"/>
              <w:left w:w="15" w:type="dxa"/>
              <w:bottom w:w="0" w:type="dxa"/>
              <w:right w:w="15" w:type="dxa"/>
            </w:tcMar>
            <w:vAlign w:val="center"/>
          </w:tcPr>
          <w:p w14:paraId="03F65E50">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为了提高用户文档使用效率，系统应内置或分布式部署全文检索引擎，可对目录、文件名、创建者、文件大小、文件内容关键字等维度进行检索，并快速显示检索结果。</w:t>
            </w:r>
          </w:p>
        </w:tc>
      </w:tr>
      <w:tr w14:paraId="49315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6" w:hRule="atLeast"/>
        </w:trPr>
        <w:tc>
          <w:tcPr>
            <w:tcW w:w="512" w:type="dxa"/>
            <w:noWrap/>
            <w:tcMar>
              <w:top w:w="15" w:type="dxa"/>
              <w:left w:w="15" w:type="dxa"/>
              <w:bottom w:w="0" w:type="dxa"/>
              <w:right w:w="15" w:type="dxa"/>
            </w:tcMar>
            <w:vAlign w:val="center"/>
          </w:tcPr>
          <w:p w14:paraId="271E2D81">
            <w:pPr>
              <w:jc w:val="center"/>
              <w:rPr>
                <w:color w:val="000000"/>
                <w:szCs w:val="21"/>
              </w:rPr>
            </w:pPr>
            <w:r>
              <w:rPr>
                <w:rFonts w:hint="eastAsia"/>
                <w:color w:val="000000"/>
                <w:szCs w:val="21"/>
              </w:rPr>
              <w:t>35</w:t>
            </w:r>
          </w:p>
        </w:tc>
        <w:tc>
          <w:tcPr>
            <w:tcW w:w="1524" w:type="dxa"/>
            <w:tcMar>
              <w:top w:w="15" w:type="dxa"/>
              <w:left w:w="15" w:type="dxa"/>
              <w:bottom w:w="0" w:type="dxa"/>
              <w:right w:w="15" w:type="dxa"/>
            </w:tcMar>
            <w:vAlign w:val="center"/>
          </w:tcPr>
          <w:p w14:paraId="30817281">
            <w:pPr>
              <w:jc w:val="center"/>
              <w:rPr>
                <w:color w:val="000000"/>
                <w:szCs w:val="21"/>
              </w:rPr>
            </w:pPr>
            <w:r>
              <w:rPr>
                <w:rFonts w:hint="eastAsia"/>
                <w:color w:val="000000"/>
                <w:szCs w:val="21"/>
              </w:rPr>
              <w:t>客户端联动</w:t>
            </w:r>
          </w:p>
        </w:tc>
        <w:tc>
          <w:tcPr>
            <w:tcW w:w="6301" w:type="dxa"/>
            <w:tcMar>
              <w:top w:w="15" w:type="dxa"/>
              <w:left w:w="15" w:type="dxa"/>
              <w:bottom w:w="0" w:type="dxa"/>
              <w:right w:w="15" w:type="dxa"/>
            </w:tcMar>
            <w:vAlign w:val="center"/>
          </w:tcPr>
          <w:p w14:paraId="43B89DF7">
            <w:pPr>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支持联动现网终端准入客户端，统一客户端操作入口，简易化医护人员日常跨网数据传输操作步骤，同时提高项目实施交付效率；此功能需提供产品功能截图或联动证明。</w:t>
            </w:r>
          </w:p>
        </w:tc>
      </w:tr>
    </w:tbl>
    <w:p w14:paraId="3AD9AA7F">
      <w:pPr>
        <w:pStyle w:val="6"/>
        <w:rPr>
          <w:rFonts w:hint="eastAsia"/>
          <w:lang w:val="en-US" w:eastAsia="zh-CN"/>
        </w:rPr>
      </w:pPr>
    </w:p>
    <w:p w14:paraId="048389F3">
      <w:pPr>
        <w:pStyle w:val="6"/>
        <w:rPr>
          <w:rFonts w:hint="eastAsia"/>
          <w:lang w:val="en-US" w:eastAsia="zh-CN"/>
        </w:rPr>
      </w:pPr>
    </w:p>
    <w:p w14:paraId="09634E02">
      <w:pPr>
        <w:spacing w:line="360" w:lineRule="auto"/>
        <w:rPr>
          <w:rFonts w:hint="eastAsia" w:ascii="宋体" w:hAnsi="宋体" w:eastAsia="宋体" w:cs="宋体"/>
          <w:b/>
          <w:sz w:val="24"/>
          <w:lang w:eastAsia="zh-CN"/>
        </w:rPr>
      </w:pPr>
      <w:r>
        <w:rPr>
          <w:rFonts w:hint="eastAsia" w:ascii="宋体" w:hAnsi="宋体" w:cs="宋体"/>
          <w:b/>
          <w:sz w:val="24"/>
        </w:rPr>
        <w:t>商务参数</w:t>
      </w:r>
      <w:r>
        <w:rPr>
          <w:rFonts w:hint="eastAsia" w:ascii="宋体" w:hAnsi="宋体" w:cs="宋体"/>
          <w:b/>
          <w:sz w:val="24"/>
          <w:lang w:eastAsia="zh-CN"/>
        </w:rPr>
        <w:t>：</w:t>
      </w:r>
    </w:p>
    <w:p w14:paraId="588756CB">
      <w:pPr>
        <w:keepNext w:val="0"/>
        <w:keepLines w:val="0"/>
        <w:pageBreakBefore w:val="0"/>
        <w:kinsoku/>
        <w:wordWrap/>
        <w:overflowPunct/>
        <w:topLinePunct w:val="0"/>
        <w:autoSpaceDE/>
        <w:autoSpaceDN/>
        <w:bidi w:val="0"/>
        <w:spacing w:line="480" w:lineRule="exact"/>
        <w:ind w:firstLine="560" w:firstLineChars="200"/>
        <w:rPr>
          <w:rFonts w:ascii="仿宋_GB2312" w:eastAsia="仿宋_GB2312" w:cs="仿宋_GB2312"/>
          <w:bCs/>
          <w:color w:val="000000" w:themeColor="text1"/>
          <w:kern w:val="0"/>
          <w:sz w:val="28"/>
          <w:szCs w:val="28"/>
          <w14:textFill>
            <w14:solidFill>
              <w14:schemeClr w14:val="tx1"/>
            </w14:solidFill>
          </w14:textFill>
        </w:rPr>
      </w:pPr>
      <w:r>
        <w:rPr>
          <w:rFonts w:hint="eastAsia" w:ascii="仿宋_GB2312" w:eastAsia="仿宋_GB2312" w:cs="仿宋_GB2312"/>
          <w:bCs/>
          <w:color w:val="000000" w:themeColor="text1"/>
          <w:kern w:val="0"/>
          <w:sz w:val="28"/>
          <w:szCs w:val="28"/>
          <w14:textFill>
            <w14:solidFill>
              <w14:schemeClr w14:val="tx1"/>
            </w14:solidFill>
          </w14:textFill>
        </w:rPr>
        <w:t>1</w:t>
      </w:r>
      <w:r>
        <w:rPr>
          <w:rFonts w:hint="eastAsia" w:ascii="仿宋_GB2312" w:eastAsia="仿宋_GB2312" w:cs="仿宋_GB2312"/>
          <w:bCs/>
          <w:color w:val="000000" w:themeColor="text1"/>
          <w:kern w:val="0"/>
          <w:sz w:val="28"/>
          <w:szCs w:val="28"/>
          <w:lang w:eastAsia="zh-CN"/>
          <w14:textFill>
            <w14:solidFill>
              <w14:schemeClr w14:val="tx1"/>
            </w14:solidFill>
          </w14:textFill>
        </w:rPr>
        <w:t>、</w:t>
      </w:r>
      <w:r>
        <w:rPr>
          <w:rFonts w:hint="eastAsia" w:ascii="仿宋_GB2312" w:eastAsia="仿宋_GB2312" w:cs="仿宋_GB2312"/>
          <w:bCs/>
          <w:color w:val="000000" w:themeColor="text1"/>
          <w:kern w:val="0"/>
          <w:sz w:val="28"/>
          <w:szCs w:val="28"/>
          <w14:textFill>
            <w14:solidFill>
              <w14:schemeClr w14:val="tx1"/>
            </w14:solidFill>
          </w14:textFill>
        </w:rPr>
        <w:t>本合同硬件质保期为叁年，自甲方在总体验收报告单上签字确认合格之日起算。乙方在质保期内免费提供硬件维修、更换、保养、咨询等服务。如硬件在质保期内出现质量问题，乙方应在接到甲方通知（包括电话通知）后24小时内赶到现场，到场后4小时内完成维修或更换，相关费用由乙方承担。如乙方不及时履行保修义务，甲方有权委托第三方进行维修，由此产生的相关费用，在支付价款中予以扣除或要求乙方支付对应货物价款。</w:t>
      </w:r>
    </w:p>
    <w:p w14:paraId="5B198382">
      <w:pPr>
        <w:keepNext w:val="0"/>
        <w:keepLines w:val="0"/>
        <w:pageBreakBefore w:val="0"/>
        <w:kinsoku/>
        <w:wordWrap/>
        <w:overflowPunct/>
        <w:topLinePunct w:val="0"/>
        <w:autoSpaceDE/>
        <w:autoSpaceDN/>
        <w:bidi w:val="0"/>
        <w:spacing w:line="480" w:lineRule="exact"/>
        <w:ind w:firstLine="560" w:firstLineChars="200"/>
        <w:rPr>
          <w:rFonts w:ascii="仿宋_GB2312" w:eastAsia="仿宋_GB2312" w:cs="仿宋_GB2312"/>
          <w:bCs/>
          <w:color w:val="000000" w:themeColor="text1"/>
          <w:kern w:val="0"/>
          <w:sz w:val="28"/>
          <w:szCs w:val="28"/>
          <w14:textFill>
            <w14:solidFill>
              <w14:schemeClr w14:val="tx1"/>
            </w14:solidFill>
          </w14:textFill>
        </w:rPr>
      </w:pPr>
      <w:r>
        <w:rPr>
          <w:rFonts w:hint="eastAsia" w:ascii="仿宋_GB2312" w:eastAsia="仿宋_GB2312" w:cs="仿宋_GB2312"/>
          <w:bCs/>
          <w:color w:val="000000" w:themeColor="text1"/>
          <w:kern w:val="0"/>
          <w:sz w:val="28"/>
          <w:szCs w:val="28"/>
          <w14:textFill>
            <w14:solidFill>
              <w14:schemeClr w14:val="tx1"/>
            </w14:solidFill>
          </w14:textFill>
        </w:rPr>
        <w:t>2</w:t>
      </w:r>
      <w:r>
        <w:rPr>
          <w:rFonts w:hint="eastAsia" w:ascii="仿宋_GB2312" w:eastAsia="仿宋_GB2312" w:cs="仿宋_GB2312"/>
          <w:bCs/>
          <w:color w:val="000000" w:themeColor="text1"/>
          <w:kern w:val="0"/>
          <w:sz w:val="28"/>
          <w:szCs w:val="28"/>
          <w:lang w:eastAsia="zh-CN"/>
          <w14:textFill>
            <w14:solidFill>
              <w14:schemeClr w14:val="tx1"/>
            </w14:solidFill>
          </w14:textFill>
        </w:rPr>
        <w:t>、</w:t>
      </w:r>
      <w:r>
        <w:rPr>
          <w:rFonts w:hint="eastAsia" w:ascii="仿宋_GB2312" w:eastAsia="仿宋_GB2312" w:cs="仿宋_GB2312"/>
          <w:bCs/>
          <w:color w:val="000000" w:themeColor="text1"/>
          <w:kern w:val="0"/>
          <w:sz w:val="28"/>
          <w:szCs w:val="28"/>
          <w14:textFill>
            <w14:solidFill>
              <w14:schemeClr w14:val="tx1"/>
            </w14:solidFill>
          </w14:textFill>
        </w:rPr>
        <w:t>本合同软件系统维保服务期限为叁年，自甲方总体验收合格之日起算。</w:t>
      </w:r>
    </w:p>
    <w:p w14:paraId="7CD7034A">
      <w:pPr>
        <w:pStyle w:val="17"/>
        <w:keepNext w:val="0"/>
        <w:keepLines w:val="0"/>
        <w:pageBreakBefore w:val="0"/>
        <w:kinsoku/>
        <w:wordWrap/>
        <w:overflowPunct/>
        <w:topLinePunct w:val="0"/>
        <w:autoSpaceDE/>
        <w:autoSpaceDN/>
        <w:bidi w:val="0"/>
        <w:ind w:firstLine="560" w:firstLineChars="200"/>
        <w:rPr>
          <w:rFonts w:hint="eastAsia" w:ascii="仿宋_GB2312" w:eastAsia="仿宋_GB2312" w:cs="仿宋_GB2312"/>
          <w:bCs/>
          <w:color w:val="000000" w:themeColor="text1"/>
          <w:sz w:val="28"/>
          <w:szCs w:val="28"/>
          <w:lang w:eastAsia="zh-CN"/>
          <w14:textFill>
            <w14:solidFill>
              <w14:schemeClr w14:val="tx1"/>
            </w14:solidFill>
          </w14:textFill>
        </w:rPr>
      </w:pPr>
      <w:r>
        <w:rPr>
          <w:rFonts w:hint="eastAsia" w:ascii="仿宋_GB2312" w:eastAsia="仿宋_GB2312" w:cs="仿宋_GB2312"/>
          <w:bCs/>
          <w:color w:val="000000" w:themeColor="text1"/>
          <w:sz w:val="28"/>
          <w:szCs w:val="28"/>
          <w14:textFill>
            <w14:solidFill>
              <w14:schemeClr w14:val="tx1"/>
            </w14:solidFill>
          </w14:textFill>
        </w:rPr>
        <w:t>服务方式：乙方为甲方提供本合同约定平台技术服务，及软件咨询、培训、升级、维护、改造等技术服务</w:t>
      </w:r>
      <w:r>
        <w:rPr>
          <w:rFonts w:hint="eastAsia" w:ascii="仿宋_GB2312" w:eastAsia="仿宋_GB2312" w:cs="仿宋_GB2312"/>
          <w:bCs/>
          <w:color w:val="000000" w:themeColor="text1"/>
          <w:sz w:val="28"/>
          <w:szCs w:val="28"/>
          <w:lang w:eastAsia="zh-CN"/>
          <w14:textFill>
            <w14:solidFill>
              <w14:schemeClr w14:val="tx1"/>
            </w14:solidFill>
          </w14:textFill>
        </w:rPr>
        <w:t>。</w:t>
      </w:r>
    </w:p>
    <w:p w14:paraId="589E52A4">
      <w:pPr>
        <w:pStyle w:val="17"/>
        <w:keepNext w:val="0"/>
        <w:keepLines w:val="0"/>
        <w:pageBreakBefore w:val="0"/>
        <w:kinsoku/>
        <w:wordWrap/>
        <w:overflowPunct/>
        <w:topLinePunct w:val="0"/>
        <w:autoSpaceDE/>
        <w:autoSpaceDN/>
        <w:bidi w:val="0"/>
        <w:ind w:firstLine="560" w:firstLineChars="200"/>
        <w:rPr>
          <w:rFonts w:hint="eastAsia" w:ascii="仿宋_GB2312" w:eastAsia="仿宋_GB2312" w:cs="仿宋_GB2312"/>
          <w:bCs/>
          <w:color w:val="0000FF"/>
          <w:sz w:val="28"/>
          <w:szCs w:val="28"/>
          <w:lang w:eastAsia="zh-CN"/>
        </w:rPr>
      </w:pPr>
      <w:r>
        <w:rPr>
          <w:rFonts w:hint="eastAsia" w:ascii="仿宋_GB2312" w:eastAsia="仿宋_GB2312" w:cs="仿宋_GB2312"/>
          <w:bCs/>
          <w:color w:val="0000FF"/>
          <w:sz w:val="28"/>
          <w:szCs w:val="28"/>
        </w:rPr>
        <w:t>服务要求</w:t>
      </w:r>
      <w:r>
        <w:rPr>
          <w:rFonts w:hint="eastAsia" w:ascii="仿宋_GB2312" w:eastAsia="仿宋_GB2312" w:cs="仿宋_GB2312"/>
          <w:bCs/>
          <w:color w:val="0000FF"/>
          <w:sz w:val="28"/>
          <w:szCs w:val="28"/>
          <w:lang w:eastAsia="zh-CN"/>
        </w:rPr>
        <w:t>：</w:t>
      </w:r>
      <w:r>
        <w:rPr>
          <w:rFonts w:hint="eastAsia" w:ascii="仿宋_GB2312" w:eastAsia="仿宋_GB2312" w:cs="仿宋_GB2312"/>
          <w:bCs/>
          <w:color w:val="0000FF"/>
          <w:sz w:val="28"/>
          <w:szCs w:val="28"/>
          <w:lang w:val="en-US" w:eastAsia="zh-CN"/>
        </w:rPr>
        <w:t>投标人承诺验收时</w:t>
      </w:r>
      <w:r>
        <w:rPr>
          <w:rFonts w:hint="eastAsia" w:ascii="仿宋_GB2312" w:eastAsia="仿宋_GB2312" w:cs="仿宋_GB2312"/>
          <w:bCs/>
          <w:color w:val="0000FF"/>
          <w:sz w:val="28"/>
          <w:szCs w:val="28"/>
          <w:lang w:eastAsia="zh-CN"/>
        </w:rPr>
        <w:t>提供原厂商对本项目出具的三年质保及售后服务承诺函。</w:t>
      </w:r>
    </w:p>
    <w:p w14:paraId="42F3AB70">
      <w:pPr>
        <w:pStyle w:val="17"/>
        <w:keepNext w:val="0"/>
        <w:keepLines w:val="0"/>
        <w:pageBreakBefore w:val="0"/>
        <w:kinsoku/>
        <w:wordWrap/>
        <w:overflowPunct/>
        <w:topLinePunct w:val="0"/>
        <w:autoSpaceDE/>
        <w:autoSpaceDN/>
        <w:bidi w:val="0"/>
        <w:ind w:firstLine="560" w:firstLineChars="200"/>
        <w:rPr>
          <w:rFonts w:hint="default" w:ascii="仿宋_GB2312" w:eastAsia="仿宋_GB2312" w:cs="仿宋_GB2312"/>
          <w:bCs/>
          <w:color w:val="000000" w:themeColor="text1"/>
          <w:sz w:val="28"/>
          <w:szCs w:val="28"/>
          <w:highlight w:val="yellow"/>
          <w:lang w:val="en-US" w:eastAsia="zh-CN"/>
          <w14:textFill>
            <w14:solidFill>
              <w14:schemeClr w14:val="tx1"/>
            </w14:solidFill>
          </w14:textFill>
        </w:rPr>
      </w:pPr>
      <w:r>
        <w:rPr>
          <w:rFonts w:hint="eastAsia" w:ascii="仿宋_GB2312" w:eastAsia="仿宋_GB2312" w:cs="仿宋_GB2312"/>
          <w:bCs/>
          <w:color w:val="000000" w:themeColor="text1"/>
          <w:sz w:val="28"/>
          <w:szCs w:val="28"/>
          <w14:textFill>
            <w14:solidFill>
              <w14:schemeClr w14:val="tx1"/>
            </w14:solidFill>
          </w14:textFill>
        </w:rPr>
        <w:t>3</w:t>
      </w:r>
      <w:r>
        <w:rPr>
          <w:rFonts w:hint="eastAsia" w:ascii="仿宋_GB2312" w:eastAsia="仿宋_GB2312" w:cs="仿宋_GB2312"/>
          <w:bCs/>
          <w:color w:val="000000" w:themeColor="text1"/>
          <w:sz w:val="28"/>
          <w:szCs w:val="28"/>
          <w:lang w:eastAsia="zh-CN"/>
          <w14:textFill>
            <w14:solidFill>
              <w14:schemeClr w14:val="tx1"/>
            </w14:solidFill>
          </w14:textFill>
        </w:rPr>
        <w:t>、</w:t>
      </w:r>
      <w:r>
        <w:rPr>
          <w:rFonts w:hint="eastAsia" w:ascii="仿宋_GB2312" w:eastAsia="仿宋_GB2312" w:cs="仿宋_GB2312"/>
          <w:bCs/>
          <w:color w:val="000000" w:themeColor="text1"/>
          <w:sz w:val="28"/>
          <w:szCs w:val="28"/>
          <w14:textFill>
            <w14:solidFill>
              <w14:schemeClr w14:val="tx1"/>
            </w14:solidFill>
          </w14:textFill>
        </w:rPr>
        <w:t>验收标准：乙方提供软件及硬件的质量、安装应符合或优于国家标准；如乙方响应文件中的技术参数和质量标准高于国家标准，则软件及硬件的技术参数和质量标准以乙方响应文件为准</w:t>
      </w:r>
      <w:r>
        <w:rPr>
          <w:rFonts w:hint="eastAsia" w:ascii="仿宋_GB2312" w:eastAsia="仿宋_GB2312" w:cs="仿宋_GB2312"/>
          <w:bCs/>
          <w:color w:val="000000" w:themeColor="text1"/>
          <w:sz w:val="28"/>
          <w:szCs w:val="28"/>
          <w:lang w:eastAsia="zh-CN"/>
          <w14:textFill>
            <w14:solidFill>
              <w14:schemeClr w14:val="tx1"/>
            </w14:solidFill>
          </w14:textFill>
        </w:rPr>
        <w:t>，</w:t>
      </w:r>
      <w:r>
        <w:rPr>
          <w:rFonts w:hint="eastAsia" w:ascii="仿宋_GB2312" w:eastAsia="仿宋_GB2312" w:cs="仿宋_GB2312"/>
          <w:bCs/>
          <w:color w:val="000000" w:themeColor="text1"/>
          <w:sz w:val="28"/>
          <w:szCs w:val="28"/>
          <w:lang w:val="en-US" w:eastAsia="zh-CN"/>
          <w14:textFill>
            <w14:solidFill>
              <w14:schemeClr w14:val="tx1"/>
            </w14:solidFill>
          </w14:textFill>
        </w:rPr>
        <w:t>中标后需要按招标文件参数要求，提供关键参数功能截图。</w:t>
      </w:r>
    </w:p>
    <w:p w14:paraId="29A3D67C">
      <w:pPr>
        <w:keepNext w:val="0"/>
        <w:keepLines w:val="0"/>
        <w:pageBreakBefore w:val="0"/>
        <w:kinsoku/>
        <w:wordWrap/>
        <w:overflowPunct/>
        <w:topLinePunct w:val="0"/>
        <w:autoSpaceDE/>
        <w:autoSpaceDN/>
        <w:bidi w:val="0"/>
        <w:ind w:firstLine="560" w:firstLineChars="200"/>
        <w:rPr>
          <w:rFonts w:hint="default"/>
          <w:sz w:val="28"/>
          <w:szCs w:val="28"/>
          <w:lang w:val="en-US" w:eastAsia="zh-CN"/>
        </w:rPr>
      </w:pPr>
      <w:r>
        <w:rPr>
          <w:rFonts w:hint="eastAsia" w:ascii="仿宋_GB2312" w:eastAsia="仿宋_GB2312" w:cs="仿宋_GB2312"/>
          <w:bCs/>
          <w:color w:val="000000" w:themeColor="text1"/>
          <w:kern w:val="0"/>
          <w:sz w:val="28"/>
          <w:szCs w:val="28"/>
          <w14:textFill>
            <w14:solidFill>
              <w14:schemeClr w14:val="tx1"/>
            </w14:solidFill>
          </w14:textFill>
        </w:rPr>
        <w:t>4</w:t>
      </w:r>
      <w:r>
        <w:rPr>
          <w:rFonts w:hint="eastAsia" w:ascii="仿宋_GB2312" w:eastAsia="仿宋_GB2312" w:cs="仿宋_GB2312"/>
          <w:bCs/>
          <w:color w:val="000000" w:themeColor="text1"/>
          <w:kern w:val="0"/>
          <w:sz w:val="28"/>
          <w:szCs w:val="28"/>
          <w:lang w:eastAsia="zh-CN"/>
          <w14:textFill>
            <w14:solidFill>
              <w14:schemeClr w14:val="tx1"/>
            </w14:solidFill>
          </w14:textFill>
        </w:rPr>
        <w:t>、</w:t>
      </w:r>
      <w:r>
        <w:rPr>
          <w:rFonts w:hint="eastAsia" w:ascii="仿宋_GB2312" w:eastAsia="仿宋_GB2312" w:cs="仿宋_GB2312"/>
          <w:bCs/>
          <w:color w:val="000000" w:themeColor="text1"/>
          <w:kern w:val="0"/>
          <w:sz w:val="28"/>
          <w:szCs w:val="28"/>
          <w14:textFill>
            <w14:solidFill>
              <w14:schemeClr w14:val="tx1"/>
            </w14:solidFill>
          </w14:textFill>
        </w:rPr>
        <w:t>自项目验收通过之日起30日内，向乙方支付价款总额90%）；项目验收通过之日起满3年后的30日内，向乙方免息支付价款剩余10%。</w:t>
      </w:r>
    </w:p>
    <w:p w14:paraId="56E7F7B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4DB8327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合同编号：</w:t>
      </w:r>
    </w:p>
    <w:p w14:paraId="746611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569D9BA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65644D9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A34044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7C167B6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r>
        <w:rPr>
          <w:rFonts w:hint="eastAsia" w:ascii="宋体" w:hAnsi="宋体" w:eastAsia="宋体" w:cs="宋体"/>
          <w:color w:val="auto"/>
          <w:sz w:val="24"/>
        </w:rPr>
        <w:t>杨吉军</w:t>
      </w:r>
    </w:p>
    <w:p w14:paraId="08B2D1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FDB9B6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1F51001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3E059A9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762C16D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7C21B67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4E0BAB5C">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F9B0496">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甲方通过医院公开挂网</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摆渡系统 </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摆渡系统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159C13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68EB5CF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1.1采购项目名称、品牌、版本/型号、数量及金额</w:t>
      </w:r>
    </w:p>
    <w:tbl>
      <w:tblPr>
        <w:tblStyle w:val="14"/>
        <w:tblpPr w:leftFromText="180" w:rightFromText="180" w:vertAnchor="text" w:horzAnchor="page" w:tblpX="1660" w:tblpY="162"/>
        <w:tblOverlap w:val="never"/>
        <w:tblW w:w="8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1340"/>
        <w:gridCol w:w="1427"/>
        <w:gridCol w:w="1333"/>
        <w:gridCol w:w="767"/>
        <w:gridCol w:w="1350"/>
      </w:tblGrid>
      <w:tr w14:paraId="7681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0204092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名称</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3ACF46E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品牌</w:t>
            </w:r>
          </w:p>
        </w:tc>
        <w:tc>
          <w:tcPr>
            <w:tcW w:w="1427" w:type="dxa"/>
            <w:tcBorders>
              <w:top w:val="single" w:color="auto" w:sz="4" w:space="0"/>
              <w:left w:val="single" w:color="auto" w:sz="4" w:space="0"/>
              <w:bottom w:val="single" w:color="auto" w:sz="4" w:space="0"/>
              <w:right w:val="single" w:color="auto" w:sz="4" w:space="0"/>
            </w:tcBorders>
            <w:noWrap w:val="0"/>
            <w:vAlign w:val="center"/>
          </w:tcPr>
          <w:p w14:paraId="0F488E9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版本/</w:t>
            </w:r>
            <w:r>
              <w:rPr>
                <w:rFonts w:hint="eastAsia" w:ascii="宋体" w:hAnsi="宋体" w:eastAsia="宋体" w:cs="宋体"/>
                <w:b/>
                <w:bCs/>
                <w:color w:val="auto"/>
                <w:kern w:val="0"/>
                <w:sz w:val="24"/>
                <w:szCs w:val="24"/>
                <w:highlight w:val="none"/>
              </w:rPr>
              <w:t>型号</w:t>
            </w:r>
          </w:p>
        </w:tc>
        <w:tc>
          <w:tcPr>
            <w:tcW w:w="1333" w:type="dxa"/>
            <w:tcBorders>
              <w:top w:val="single" w:color="auto" w:sz="4" w:space="0"/>
              <w:left w:val="single" w:color="auto" w:sz="4" w:space="0"/>
              <w:bottom w:val="single" w:color="auto" w:sz="4" w:space="0"/>
              <w:right w:val="single" w:color="auto" w:sz="4" w:space="0"/>
            </w:tcBorders>
            <w:noWrap w:val="0"/>
            <w:vAlign w:val="center"/>
          </w:tcPr>
          <w:p w14:paraId="531E462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单价（元）</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835828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数量</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814AA7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金额（元）</w:t>
            </w:r>
          </w:p>
        </w:tc>
      </w:tr>
      <w:tr w14:paraId="2D8F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0906D58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sz w:val="24"/>
                <w:szCs w:val="24"/>
                <w:highlight w:val="none"/>
                <w:u w:val="none"/>
                <w:lang w:val="en-US" w:eastAsia="zh-CN"/>
              </w:rPr>
              <w:t>摆渡</w:t>
            </w:r>
            <w:r>
              <w:rPr>
                <w:rFonts w:hint="eastAsia" w:ascii="宋体" w:hAnsi="宋体" w:eastAsia="宋体" w:cs="宋体"/>
                <w:bCs/>
                <w:color w:val="auto"/>
                <w:sz w:val="24"/>
                <w:szCs w:val="24"/>
                <w:highlight w:val="none"/>
                <w:u w:val="none"/>
              </w:rPr>
              <w:t>系统</w:t>
            </w:r>
            <w:r>
              <w:rPr>
                <w:rFonts w:hint="eastAsia" w:ascii="宋体" w:hAnsi="宋体" w:eastAsia="宋体" w:cs="宋体"/>
                <w:bCs/>
                <w:color w:val="auto"/>
                <w:sz w:val="24"/>
                <w:szCs w:val="24"/>
                <w:highlight w:val="none"/>
                <w:u w:val="none"/>
                <w:lang w:val="en-US" w:eastAsia="zh-CN"/>
              </w:rPr>
              <w:t>软件</w:t>
            </w:r>
          </w:p>
        </w:tc>
        <w:tc>
          <w:tcPr>
            <w:tcW w:w="1340" w:type="dxa"/>
            <w:tcBorders>
              <w:top w:val="single" w:color="auto" w:sz="4" w:space="0"/>
              <w:left w:val="single" w:color="auto" w:sz="4" w:space="0"/>
              <w:bottom w:val="single" w:color="auto" w:sz="4" w:space="0"/>
              <w:right w:val="single" w:color="auto" w:sz="4" w:space="0"/>
            </w:tcBorders>
            <w:noWrap w:val="0"/>
            <w:vAlign w:val="center"/>
          </w:tcPr>
          <w:p w14:paraId="0DE8935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427" w:type="dxa"/>
            <w:tcBorders>
              <w:top w:val="single" w:color="auto" w:sz="4" w:space="0"/>
              <w:left w:val="single" w:color="auto" w:sz="4" w:space="0"/>
              <w:bottom w:val="single" w:color="auto" w:sz="4" w:space="0"/>
              <w:right w:val="single" w:color="auto" w:sz="4" w:space="0"/>
            </w:tcBorders>
            <w:noWrap w:val="0"/>
            <w:vAlign w:val="center"/>
          </w:tcPr>
          <w:p w14:paraId="33F69CB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1333" w:type="dxa"/>
            <w:tcBorders>
              <w:top w:val="single" w:color="auto" w:sz="4" w:space="0"/>
              <w:left w:val="single" w:color="auto" w:sz="4" w:space="0"/>
              <w:right w:val="single" w:color="auto" w:sz="4" w:space="0"/>
            </w:tcBorders>
            <w:noWrap w:val="0"/>
            <w:vAlign w:val="center"/>
          </w:tcPr>
          <w:p w14:paraId="05837AA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c>
          <w:tcPr>
            <w:tcW w:w="767" w:type="dxa"/>
            <w:tcBorders>
              <w:top w:val="single" w:color="auto" w:sz="4" w:space="0"/>
              <w:left w:val="single" w:color="auto" w:sz="4" w:space="0"/>
              <w:right w:val="single" w:color="auto" w:sz="4" w:space="0"/>
            </w:tcBorders>
            <w:noWrap w:val="0"/>
            <w:vAlign w:val="center"/>
          </w:tcPr>
          <w:p w14:paraId="159F94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50" w:type="dxa"/>
            <w:tcBorders>
              <w:top w:val="single" w:color="auto" w:sz="4" w:space="0"/>
              <w:left w:val="single" w:color="auto" w:sz="4" w:space="0"/>
              <w:right w:val="single" w:color="auto" w:sz="4" w:space="0"/>
            </w:tcBorders>
            <w:noWrap w:val="0"/>
            <w:vAlign w:val="center"/>
          </w:tcPr>
          <w:p w14:paraId="66A7332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rPr>
            </w:pPr>
          </w:p>
        </w:tc>
      </w:tr>
      <w:tr w14:paraId="3E00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660" w:type="dxa"/>
            <w:tcBorders>
              <w:top w:val="single" w:color="auto" w:sz="4" w:space="0"/>
              <w:left w:val="single" w:color="auto" w:sz="4" w:space="0"/>
              <w:bottom w:val="single" w:color="auto" w:sz="4" w:space="0"/>
              <w:right w:val="single" w:color="auto" w:sz="4" w:space="0"/>
            </w:tcBorders>
            <w:noWrap w:val="0"/>
            <w:vAlign w:val="center"/>
          </w:tcPr>
          <w:p w14:paraId="4B43F76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r>
              <w:rPr>
                <w:rFonts w:hint="eastAsia" w:eastAsia="宋体"/>
                <w:color w:val="auto"/>
                <w:spacing w:val="-8"/>
                <w:sz w:val="24"/>
                <w:szCs w:val="24"/>
                <w:highlight w:val="none"/>
                <w:u w:val="none"/>
                <w:lang w:val="en-US" w:eastAsia="zh-CN"/>
              </w:rPr>
              <w:t>服务器</w:t>
            </w:r>
          </w:p>
        </w:tc>
        <w:tc>
          <w:tcPr>
            <w:tcW w:w="1340" w:type="dxa"/>
            <w:tcBorders>
              <w:top w:val="single" w:color="auto" w:sz="4" w:space="0"/>
              <w:left w:val="single" w:color="auto" w:sz="4" w:space="0"/>
              <w:right w:val="single" w:color="auto" w:sz="4" w:space="0"/>
            </w:tcBorders>
            <w:noWrap w:val="0"/>
            <w:vAlign w:val="center"/>
          </w:tcPr>
          <w:p w14:paraId="452004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sz w:val="24"/>
                <w:szCs w:val="24"/>
                <w:highlight w:val="none"/>
              </w:rPr>
            </w:pPr>
          </w:p>
        </w:tc>
        <w:tc>
          <w:tcPr>
            <w:tcW w:w="1427" w:type="dxa"/>
            <w:tcBorders>
              <w:top w:val="single" w:color="auto" w:sz="4" w:space="0"/>
              <w:left w:val="single" w:color="auto" w:sz="4" w:space="0"/>
              <w:right w:val="single" w:color="auto" w:sz="4" w:space="0"/>
            </w:tcBorders>
            <w:noWrap w:val="0"/>
            <w:vAlign w:val="center"/>
          </w:tcPr>
          <w:p w14:paraId="6A9A959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p>
        </w:tc>
        <w:tc>
          <w:tcPr>
            <w:tcW w:w="1333" w:type="dxa"/>
            <w:tcBorders>
              <w:left w:val="single" w:color="auto" w:sz="4" w:space="0"/>
              <w:right w:val="single" w:color="auto" w:sz="4" w:space="0"/>
            </w:tcBorders>
            <w:noWrap w:val="0"/>
            <w:vAlign w:val="center"/>
          </w:tcPr>
          <w:p w14:paraId="5AA578A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c>
          <w:tcPr>
            <w:tcW w:w="767" w:type="dxa"/>
            <w:tcBorders>
              <w:left w:val="single" w:color="auto" w:sz="4" w:space="0"/>
              <w:right w:val="single" w:color="auto" w:sz="4" w:space="0"/>
            </w:tcBorders>
            <w:noWrap w:val="0"/>
            <w:vAlign w:val="center"/>
          </w:tcPr>
          <w:p w14:paraId="373E5B3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lang w:val="en-US" w:eastAsia="zh-CN"/>
              </w:rPr>
            </w:pPr>
          </w:p>
        </w:tc>
        <w:tc>
          <w:tcPr>
            <w:tcW w:w="1350" w:type="dxa"/>
            <w:tcBorders>
              <w:left w:val="single" w:color="auto" w:sz="4" w:space="0"/>
              <w:right w:val="single" w:color="auto" w:sz="4" w:space="0"/>
            </w:tcBorders>
            <w:noWrap w:val="0"/>
            <w:vAlign w:val="center"/>
          </w:tcPr>
          <w:p w14:paraId="486D5E4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default" w:ascii="宋体" w:hAnsi="宋体" w:eastAsia="宋体" w:cs="宋体"/>
                <w:color w:val="auto"/>
                <w:kern w:val="0"/>
                <w:sz w:val="24"/>
                <w:szCs w:val="24"/>
                <w:highlight w:val="none"/>
                <w:lang w:val="en-US" w:eastAsia="zh-CN"/>
              </w:rPr>
            </w:pPr>
          </w:p>
        </w:tc>
      </w:tr>
      <w:tr w14:paraId="118F1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77" w:type="dxa"/>
            <w:gridSpan w:val="6"/>
            <w:tcBorders>
              <w:top w:val="single" w:color="auto" w:sz="4" w:space="0"/>
              <w:left w:val="single" w:color="auto" w:sz="4" w:space="0"/>
              <w:bottom w:val="single" w:color="auto" w:sz="4" w:space="0"/>
              <w:right w:val="single" w:color="auto" w:sz="4" w:space="0"/>
            </w:tcBorders>
            <w:noWrap w:val="0"/>
            <w:vAlign w:val="center"/>
          </w:tcPr>
          <w:p w14:paraId="7423C10A">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合计价款金额（大写）：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 xml:space="preserve">元整 </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人民币（小写）：</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p>
        </w:tc>
      </w:tr>
    </w:tbl>
    <w:p w14:paraId="38DBC36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1.2 本合同约定价格为固定价格，不因物价、市场波动变更，约定价格包括且不限于设计费、材料费、人工费、安装费、包装费、运输费、装卸费、调试费、</w:t>
      </w:r>
      <w:r>
        <w:rPr>
          <w:rFonts w:hint="eastAsia" w:ascii="宋体" w:hAnsi="宋体" w:eastAsia="宋体" w:cs="宋体"/>
          <w:color w:val="0000FF"/>
          <w:sz w:val="24"/>
          <w:szCs w:val="24"/>
          <w:highlight w:val="none"/>
          <w:lang w:val="en-US" w:eastAsia="zh-CN"/>
        </w:rPr>
        <w:t>摆渡系统软件永久使用费、</w:t>
      </w:r>
      <w:r>
        <w:rPr>
          <w:rFonts w:hint="eastAsia" w:ascii="宋体" w:hAnsi="宋体" w:eastAsia="宋体" w:cs="宋体"/>
          <w:color w:val="auto"/>
          <w:sz w:val="24"/>
          <w:szCs w:val="24"/>
          <w:lang w:val="en-US" w:eastAsia="zh-CN"/>
        </w:rPr>
        <w:t>软件升级费用、服务费、</w:t>
      </w:r>
      <w:r>
        <w:rPr>
          <w:rFonts w:hint="eastAsia" w:ascii="宋体" w:hAnsi="宋体" w:eastAsia="宋体" w:cs="宋体"/>
          <w:color w:val="000000" w:themeColor="text1"/>
          <w:sz w:val="24"/>
          <w:szCs w:val="24"/>
          <w:highlight w:val="none"/>
          <w:lang w:val="en-US" w:eastAsia="zh-CN"/>
          <w14:textFill>
            <w14:solidFill>
              <w14:schemeClr w14:val="tx1"/>
            </w14:solidFill>
          </w14:textFill>
        </w:rPr>
        <w:t>接口费、检测费、检验费、税费、保险费、售后服务费、附随服务费等在内所有费用，</w:t>
      </w:r>
      <w:r>
        <w:rPr>
          <w:rFonts w:hint="eastAsia" w:ascii="宋体" w:hAnsi="宋体" w:eastAsia="宋体" w:cs="宋体"/>
          <w:color w:val="auto"/>
          <w:sz w:val="24"/>
          <w:szCs w:val="24"/>
          <w:lang w:val="en-US" w:eastAsia="zh-CN"/>
        </w:rPr>
        <w:t>甲方不再就本合同约定范围内的内容向乙方额外支付任何其他费用。</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6B7A880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w:t>
      </w:r>
      <w:r>
        <w:rPr>
          <w:rFonts w:hint="eastAsia" w:ascii="宋体" w:hAnsi="宋体" w:cs="宋体"/>
          <w:color w:val="0000FF"/>
          <w:sz w:val="24"/>
          <w:szCs w:val="24"/>
          <w:highlight w:val="none"/>
          <w:lang w:val="en-US" w:eastAsia="zh-CN"/>
        </w:rPr>
        <w:t>改造、</w:t>
      </w:r>
      <w:r>
        <w:rPr>
          <w:rFonts w:hint="eastAsia" w:ascii="宋体" w:hAnsi="宋体" w:cs="宋体"/>
          <w:color w:val="000000" w:themeColor="text1"/>
          <w:sz w:val="24"/>
          <w:szCs w:val="24"/>
          <w:highlight w:val="none"/>
          <w14:textFill>
            <w14:solidFill>
              <w14:schemeClr w14:val="tx1"/>
            </w14:solidFill>
          </w14:textFill>
        </w:rPr>
        <w:t>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2067594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cs="宋体"/>
          <w:color w:val="000000" w:themeColor="text1"/>
          <w:sz w:val="24"/>
          <w:szCs w:val="24"/>
          <w:highlight w:val="none"/>
          <w14:textFill>
            <w14:solidFill>
              <w14:schemeClr w14:val="tx1"/>
            </w14:solidFill>
          </w14:textFill>
        </w:rPr>
        <w:t xml:space="preserve"> 乙方提供的软件、硬件</w:t>
      </w:r>
      <w:r>
        <w:rPr>
          <w:rFonts w:hint="eastAsia" w:ascii="宋体" w:hAnsi="宋体" w:cs="宋体"/>
          <w:color w:val="0000FF"/>
          <w:sz w:val="24"/>
          <w:szCs w:val="24"/>
          <w:highlight w:val="none"/>
          <w:lang w:val="en-US" w:eastAsia="zh-CN"/>
        </w:rPr>
        <w:t>须完全符合本合同附件约定，并确保硬件、软件系统能正常工作，不影响甲方其他软硬件系统的运行。</w:t>
      </w:r>
    </w:p>
    <w:p w14:paraId="7797BFD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cs="宋体"/>
          <w:color w:val="000000" w:themeColor="text1"/>
          <w:sz w:val="24"/>
          <w:szCs w:val="24"/>
          <w:highlight w:val="none"/>
          <w14:textFill>
            <w14:solidFill>
              <w14:schemeClr w14:val="tx1"/>
            </w14:solidFill>
          </w14:textFill>
        </w:rPr>
        <w:t xml:space="preserve"> 甲方享有</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摆渡系统</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软件的永久使用权。</w:t>
      </w:r>
    </w:p>
    <w:p w14:paraId="249066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摆渡系统</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硬件的所有权自验收交付使用后转移给甲方。</w:t>
      </w:r>
    </w:p>
    <w:p w14:paraId="35E4FEB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7C145FD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4DC88AE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FF0000"/>
          <w:sz w:val="24"/>
          <w:szCs w:val="24"/>
          <w:highlight w:val="none"/>
          <w:lang w:val="en-US" w:eastAsia="zh-CN"/>
        </w:rPr>
        <w:t>并在三十日内完成安装、调试和经甲方总体验收合格</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p>
    <w:p w14:paraId="5AD6829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5F6EA1F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5AD829B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37E2F74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w:t>
      </w:r>
      <w:r>
        <w:rPr>
          <w:rFonts w:hint="eastAsia" w:ascii="宋体" w:hAnsi="宋体" w:eastAsia="宋体" w:cs="宋体"/>
          <w:color w:val="auto"/>
          <w:sz w:val="24"/>
          <w:szCs w:val="24"/>
          <w:lang w:val="en-US" w:eastAsia="zh-CN"/>
        </w:rPr>
        <w:t>软件及硬件</w:t>
      </w:r>
      <w:r>
        <w:rPr>
          <w:rFonts w:hint="eastAsia" w:ascii="宋体" w:hAnsi="宋体" w:eastAsia="宋体" w:cs="宋体"/>
          <w:color w:val="000000" w:themeColor="text1"/>
          <w:sz w:val="24"/>
          <w:szCs w:val="24"/>
          <w:highlight w:val="none"/>
          <w:lang w:val="en-US" w:eastAsia="zh-CN"/>
          <w14:textFill>
            <w14:solidFill>
              <w14:schemeClr w14:val="tx1"/>
            </w14:solidFill>
          </w14:textFill>
        </w:rPr>
        <w:t>的技术参数和质量标准以投标文件/响应文件为准；如乙方投标/响应时提交了样品并经甲方确认封存的，货物质量标准以样品为准。</w:t>
      </w:r>
      <w:r>
        <w:rPr>
          <w:rFonts w:hint="eastAsia" w:ascii="宋体" w:hAnsi="宋体" w:eastAsia="宋体" w:cs="宋体"/>
          <w:color w:val="0000FF"/>
          <w:sz w:val="24"/>
          <w:szCs w:val="24"/>
          <w:highlight w:val="none"/>
          <w:lang w:val="en-US" w:eastAsia="zh-CN"/>
        </w:rPr>
        <w:t>如乙方应交付的硬件设备属于国产</w:t>
      </w:r>
      <w:r>
        <w:rPr>
          <w:rFonts w:hint="eastAsia" w:ascii="宋体" w:hAnsi="宋体" w:cs="宋体"/>
          <w:color w:val="0000FF"/>
          <w:sz w:val="24"/>
          <w:szCs w:val="24"/>
          <w:highlight w:val="none"/>
          <w:lang w:val="en-US" w:eastAsia="zh-CN"/>
        </w:rPr>
        <w:t>设备，则应保证该设备为交付时起近</w:t>
      </w:r>
      <w:r>
        <w:rPr>
          <w:rFonts w:hint="eastAsia" w:ascii="宋体" w:hAnsi="宋体" w:cs="宋体"/>
          <w:color w:val="0000FF"/>
          <w:sz w:val="24"/>
          <w:szCs w:val="24"/>
          <w:highlight w:val="none"/>
          <w:lang w:eastAsia="zh-CN"/>
        </w:rPr>
        <w:t>6个月内生产的产品；</w:t>
      </w:r>
      <w:r>
        <w:rPr>
          <w:rFonts w:hint="eastAsia" w:ascii="宋体" w:hAnsi="宋体" w:cs="宋体"/>
          <w:color w:val="0000FF"/>
          <w:sz w:val="24"/>
          <w:szCs w:val="24"/>
          <w:highlight w:val="none"/>
          <w:lang w:val="en-US" w:eastAsia="zh-CN"/>
        </w:rPr>
        <w:t>如乙方</w:t>
      </w:r>
      <w:r>
        <w:rPr>
          <w:rFonts w:hint="eastAsia" w:ascii="宋体" w:hAnsi="宋体" w:eastAsia="宋体" w:cs="宋体"/>
          <w:color w:val="0000FF"/>
          <w:sz w:val="24"/>
          <w:szCs w:val="24"/>
          <w:highlight w:val="none"/>
          <w:lang w:val="en-US" w:eastAsia="zh-CN"/>
        </w:rPr>
        <w:t>应</w:t>
      </w:r>
      <w:r>
        <w:rPr>
          <w:rFonts w:hint="eastAsia" w:ascii="宋体" w:hAnsi="宋体" w:cs="宋体"/>
          <w:color w:val="0000FF"/>
          <w:sz w:val="24"/>
          <w:szCs w:val="24"/>
          <w:highlight w:val="none"/>
          <w:lang w:val="en-US" w:eastAsia="zh-CN"/>
        </w:rPr>
        <w:t>交付的硬件设备属于</w:t>
      </w:r>
      <w:r>
        <w:rPr>
          <w:rFonts w:hint="eastAsia" w:ascii="宋体" w:hAnsi="宋体" w:eastAsia="宋体" w:cs="宋体"/>
          <w:color w:val="0000FF"/>
          <w:sz w:val="24"/>
          <w:szCs w:val="24"/>
          <w:highlight w:val="none"/>
          <w:lang w:val="en-US" w:eastAsia="zh-CN"/>
        </w:rPr>
        <w:t>进口设备</w:t>
      </w:r>
      <w:r>
        <w:rPr>
          <w:rFonts w:hint="eastAsia" w:ascii="宋体" w:hAnsi="宋体" w:cs="宋体"/>
          <w:color w:val="0000FF"/>
          <w:sz w:val="24"/>
          <w:szCs w:val="24"/>
          <w:highlight w:val="none"/>
          <w:lang w:val="en-US" w:eastAsia="zh-CN"/>
        </w:rPr>
        <w:t>，则应保证该设备</w:t>
      </w:r>
      <w:r>
        <w:rPr>
          <w:rFonts w:hint="eastAsia" w:ascii="宋体" w:hAnsi="宋体" w:cs="宋体"/>
          <w:color w:val="0000FF"/>
          <w:sz w:val="24"/>
          <w:szCs w:val="24"/>
          <w:highlight w:val="none"/>
          <w:lang w:eastAsia="zh-CN"/>
        </w:rPr>
        <w:t>为</w:t>
      </w:r>
      <w:r>
        <w:rPr>
          <w:rFonts w:hint="eastAsia" w:ascii="宋体" w:hAnsi="宋体" w:cs="宋体"/>
          <w:color w:val="0000FF"/>
          <w:sz w:val="24"/>
          <w:szCs w:val="24"/>
          <w:highlight w:val="none"/>
          <w:lang w:val="en-US" w:eastAsia="zh-CN"/>
        </w:rPr>
        <w:t>交付时起近一年</w:t>
      </w:r>
      <w:r>
        <w:rPr>
          <w:rFonts w:hint="eastAsia" w:ascii="宋体" w:hAnsi="宋体" w:cs="宋体"/>
          <w:color w:val="0000FF"/>
          <w:sz w:val="24"/>
          <w:szCs w:val="24"/>
          <w:highlight w:val="none"/>
          <w:lang w:eastAsia="zh-CN"/>
        </w:rPr>
        <w:t>内生产的产品</w:t>
      </w:r>
      <w:r>
        <w:rPr>
          <w:rFonts w:hint="eastAsia" w:ascii="宋体" w:hAnsi="宋体" w:eastAsia="宋体" w:cs="宋体"/>
          <w:color w:val="0000FF"/>
          <w:sz w:val="24"/>
          <w:szCs w:val="24"/>
          <w:highlight w:val="none"/>
          <w:lang w:val="en-US" w:eastAsia="zh-CN"/>
        </w:rPr>
        <w:t>。</w:t>
      </w:r>
    </w:p>
    <w:p w14:paraId="784EBA9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4A80E58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w:t>
      </w:r>
      <w:r>
        <w:rPr>
          <w:rFonts w:hint="eastAsia" w:ascii="宋体" w:hAnsi="宋体" w:eastAsia="宋体" w:cs="宋体"/>
          <w:color w:val="FF0000"/>
          <w:sz w:val="24"/>
          <w:szCs w:val="24"/>
          <w:highlight w:val="none"/>
          <w:lang w:val="en-US" w:eastAsia="zh-CN"/>
        </w:rPr>
        <w:t>补货、更换等，并确保到货验收合格，因</w:t>
      </w:r>
      <w:r>
        <w:rPr>
          <w:rFonts w:hint="eastAsia" w:ascii="宋体" w:hAnsi="宋体" w:eastAsia="宋体" w:cs="宋体"/>
          <w:b w:val="0"/>
          <w:bCs w:val="0"/>
          <w:color w:val="FF0000"/>
          <w:sz w:val="24"/>
          <w:szCs w:val="24"/>
          <w:lang w:val="en-US" w:eastAsia="zh-CN"/>
        </w:rPr>
        <w:t>此产生的违约责任和所有费用由乙方承担</w:t>
      </w:r>
      <w:r>
        <w:rPr>
          <w:rFonts w:hint="eastAsia" w:ascii="宋体" w:hAnsi="宋体" w:eastAsia="宋体" w:cs="宋体"/>
          <w:b w:val="0"/>
          <w:bCs w:val="0"/>
          <w:color w:val="auto"/>
          <w:sz w:val="24"/>
          <w:szCs w:val="24"/>
          <w:lang w:val="en-US" w:eastAsia="zh-CN"/>
        </w:rPr>
        <w:t>。</w:t>
      </w:r>
    </w:p>
    <w:p w14:paraId="0B7EC2D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3.2.2 总体验收：乙方将本合同软件及硬件安装、调试后应及时通知甲方，甲方自接到乙方通知之日起</w:t>
      </w:r>
      <w:r>
        <w:rPr>
          <w:rFonts w:hint="eastAsia" w:ascii="宋体" w:hAnsi="宋体" w:eastAsia="宋体" w:cs="宋体"/>
          <w:b w:val="0"/>
          <w:bCs w:val="0"/>
          <w:color w:val="auto"/>
          <w:sz w:val="24"/>
          <w:szCs w:val="24"/>
          <w:u w:val="single"/>
          <w:lang w:val="en-US" w:eastAsia="zh-CN"/>
        </w:rPr>
        <w:t>7</w:t>
      </w:r>
      <w:r>
        <w:rPr>
          <w:rFonts w:hint="eastAsia" w:ascii="宋体" w:hAnsi="宋体" w:eastAsia="宋体" w:cs="宋体"/>
          <w:b w:val="0"/>
          <w:bCs w:val="0"/>
          <w:color w:val="auto"/>
          <w:sz w:val="24"/>
          <w:szCs w:val="24"/>
          <w:lang w:val="en-US" w:eastAsia="zh-CN"/>
        </w:rPr>
        <w:t>日内自行组织验收，软件及硬件正常运行且满足</w:t>
      </w:r>
      <w:r>
        <w:rPr>
          <w:rFonts w:hint="eastAsia" w:ascii="宋体" w:hAnsi="宋体" w:eastAsia="宋体" w:cs="宋体"/>
          <w:color w:val="auto"/>
          <w:sz w:val="24"/>
          <w:szCs w:val="24"/>
          <w:lang w:val="en-US" w:eastAsia="zh-CN"/>
        </w:rPr>
        <w:t>要求和甲方需求</w:t>
      </w:r>
      <w:r>
        <w:rPr>
          <w:rFonts w:hint="eastAsia" w:ascii="宋体" w:hAnsi="宋体" w:eastAsia="宋体" w:cs="宋体"/>
          <w:b w:val="0"/>
          <w:bCs w:val="0"/>
          <w:color w:val="auto"/>
          <w:sz w:val="24"/>
          <w:szCs w:val="24"/>
          <w:lang w:val="en-US" w:eastAsia="zh-CN"/>
        </w:rPr>
        <w:t>方为验收合格，甲方签署总体验收报告单。如经甲方验收不合格，乙方应在</w:t>
      </w:r>
      <w:r>
        <w:rPr>
          <w:rFonts w:hint="eastAsia" w:ascii="宋体" w:hAnsi="宋体" w:eastAsia="宋体" w:cs="宋体"/>
          <w:b w:val="0"/>
          <w:bCs w:val="0"/>
          <w:color w:val="auto"/>
          <w:sz w:val="24"/>
          <w:szCs w:val="24"/>
          <w:u w:val="single"/>
          <w:lang w:val="en-US" w:eastAsia="zh-CN"/>
        </w:rPr>
        <w:t xml:space="preserve"> 3 </w:t>
      </w:r>
      <w:r>
        <w:rPr>
          <w:rFonts w:hint="eastAsia" w:ascii="宋体" w:hAnsi="宋体" w:eastAsia="宋体" w:cs="宋体"/>
          <w:b w:val="0"/>
          <w:bCs w:val="0"/>
          <w:color w:val="auto"/>
          <w:sz w:val="24"/>
          <w:szCs w:val="24"/>
          <w:lang w:val="en-US" w:eastAsia="zh-CN"/>
        </w:rPr>
        <w:t>日内无条件予以返工并</w:t>
      </w:r>
      <w:r>
        <w:rPr>
          <w:rFonts w:hint="eastAsia" w:ascii="宋体" w:hAnsi="宋体" w:eastAsia="宋体" w:cs="宋体"/>
          <w:b w:val="0"/>
          <w:bCs w:val="0"/>
          <w:color w:val="FF0000"/>
          <w:sz w:val="24"/>
          <w:szCs w:val="24"/>
          <w:lang w:val="en-US" w:eastAsia="zh-CN"/>
        </w:rPr>
        <w:t>确保总体验收合格，</w:t>
      </w:r>
      <w:r>
        <w:rPr>
          <w:rFonts w:hint="eastAsia" w:ascii="宋体" w:hAnsi="宋体" w:eastAsia="宋体" w:cs="宋体"/>
          <w:color w:val="FF0000"/>
          <w:sz w:val="24"/>
          <w:szCs w:val="24"/>
          <w:highlight w:val="none"/>
          <w:lang w:val="en-US" w:eastAsia="zh-CN"/>
        </w:rPr>
        <w:t>因</w:t>
      </w:r>
      <w:r>
        <w:rPr>
          <w:rFonts w:hint="eastAsia" w:ascii="宋体" w:hAnsi="宋体" w:eastAsia="宋体" w:cs="宋体"/>
          <w:b w:val="0"/>
          <w:bCs w:val="0"/>
          <w:color w:val="FF0000"/>
          <w:sz w:val="24"/>
          <w:szCs w:val="24"/>
          <w:lang w:val="en-US" w:eastAsia="zh-CN"/>
        </w:rPr>
        <w:t>此产生的违约责任和所有费用由乙方承担</w:t>
      </w:r>
      <w:r>
        <w:rPr>
          <w:rFonts w:hint="eastAsia" w:ascii="宋体" w:hAnsi="宋体" w:eastAsia="宋体" w:cs="宋体"/>
          <w:b w:val="0"/>
          <w:bCs w:val="0"/>
          <w:color w:val="auto"/>
          <w:sz w:val="24"/>
          <w:szCs w:val="24"/>
          <w:lang w:val="en-US" w:eastAsia="zh-CN"/>
        </w:rPr>
        <w:t>。</w:t>
      </w:r>
      <w:r>
        <w:rPr>
          <w:rFonts w:hint="eastAsia" w:ascii="宋体" w:hAnsi="宋体" w:eastAsia="宋体" w:cs="宋体"/>
          <w:b w:val="0"/>
          <w:bCs w:val="0"/>
          <w:color w:val="0000FF"/>
          <w:sz w:val="24"/>
          <w:szCs w:val="24"/>
          <w:lang w:val="en-US" w:eastAsia="zh-CN"/>
        </w:rPr>
        <w:t>如乙方无法在本合同约定时间内通过甲方再次验收，甲方有权单方面解除合同。</w:t>
      </w:r>
    </w:p>
    <w:p w14:paraId="10A862E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auto"/>
          <w:sz w:val="24"/>
          <w:szCs w:val="24"/>
          <w:lang w:val="en-US" w:eastAsia="zh-CN"/>
        </w:rPr>
        <w:t>3.2.3 甲方验收时如发现乙方所交付的软件系统及硬件不符合本合同约定，甲方应做出详尽的现场记录，由甲乙双方签署备忘录，该现场记录和备忘录作为乙方重新返工的有效依据，由此产生的一切经济损失由乙方承担。</w:t>
      </w:r>
    </w:p>
    <w:p w14:paraId="6AEA09F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0454B3E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4067807F">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6152F27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段毅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7D0878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4BF6AA2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40F47E9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64B34A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 硬件售后服务</w:t>
      </w:r>
    </w:p>
    <w:p w14:paraId="0343573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5.1.1 本合同硬件质保期为</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b w:val="0"/>
          <w:bCs w:val="0"/>
          <w:color w:val="0000FF"/>
          <w:kern w:val="2"/>
          <w:sz w:val="24"/>
          <w:szCs w:val="24"/>
          <w:u w:val="single"/>
          <w:lang w:val="en-US" w:eastAsia="zh-CN" w:bidi="ar-SA"/>
        </w:rPr>
        <w:t>三</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b w:val="0"/>
          <w:bCs w:val="0"/>
          <w:color w:val="auto"/>
          <w:kern w:val="2"/>
          <w:sz w:val="24"/>
          <w:szCs w:val="24"/>
          <w:u w:val="none"/>
          <w:lang w:val="en-US" w:eastAsia="zh-CN" w:bidi="ar-SA"/>
        </w:rPr>
        <w:t>年</w:t>
      </w:r>
      <w:r>
        <w:rPr>
          <w:rFonts w:hint="eastAsia" w:ascii="宋体" w:hAnsi="宋体" w:eastAsia="宋体" w:cs="宋体"/>
          <w:b w:val="0"/>
          <w:bCs w:val="0"/>
          <w:color w:val="auto"/>
          <w:kern w:val="2"/>
          <w:sz w:val="24"/>
          <w:szCs w:val="24"/>
          <w:lang w:val="en-US" w:eastAsia="zh-CN" w:bidi="ar-SA"/>
        </w:rPr>
        <w:t>，自甲方在总体验收报告单上签字确认合格之日起算。</w:t>
      </w:r>
    </w:p>
    <w:p w14:paraId="566E127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5.1.2 乙方在质保期内免费提供硬件维修、更换、保养、咨询等服务。如硬件在质保期内出现质量问题，乙方应在接到甲方通知（包括电话通知）后</w:t>
      </w:r>
      <w:r>
        <w:rPr>
          <w:rFonts w:hint="eastAsia" w:ascii="宋体" w:hAnsi="宋体" w:eastAsia="宋体" w:cs="宋体"/>
          <w:b w:val="0"/>
          <w:bCs w:val="0"/>
          <w:color w:val="auto"/>
          <w:kern w:val="2"/>
          <w:sz w:val="24"/>
          <w:szCs w:val="24"/>
          <w:u w:val="single"/>
          <w:lang w:val="en-US" w:eastAsia="zh-CN" w:bidi="ar-SA"/>
        </w:rPr>
        <w:t xml:space="preserve"> 24 </w:t>
      </w:r>
      <w:r>
        <w:rPr>
          <w:rFonts w:hint="eastAsia" w:ascii="宋体" w:hAnsi="宋体" w:eastAsia="宋体" w:cs="宋体"/>
          <w:b w:val="0"/>
          <w:bCs w:val="0"/>
          <w:color w:val="auto"/>
          <w:kern w:val="2"/>
          <w:sz w:val="24"/>
          <w:szCs w:val="24"/>
          <w:lang w:val="en-US" w:eastAsia="zh-CN" w:bidi="ar-SA"/>
        </w:rPr>
        <w:t>小时内赶到现场，到场后</w:t>
      </w:r>
      <w:r>
        <w:rPr>
          <w:rFonts w:hint="eastAsia" w:ascii="宋体" w:hAnsi="宋体" w:eastAsia="宋体" w:cs="宋体"/>
          <w:b w:val="0"/>
          <w:bCs w:val="0"/>
          <w:color w:val="auto"/>
          <w:kern w:val="2"/>
          <w:sz w:val="24"/>
          <w:szCs w:val="24"/>
          <w:u w:val="single"/>
          <w:lang w:val="en-US" w:eastAsia="zh-CN" w:bidi="ar-SA"/>
        </w:rPr>
        <w:t xml:space="preserve"> 4 </w:t>
      </w:r>
      <w:r>
        <w:rPr>
          <w:rFonts w:hint="eastAsia" w:ascii="宋体" w:hAnsi="宋体" w:eastAsia="宋体" w:cs="宋体"/>
          <w:b w:val="0"/>
          <w:bCs w:val="0"/>
          <w:color w:val="auto"/>
          <w:kern w:val="2"/>
          <w:sz w:val="24"/>
          <w:szCs w:val="24"/>
          <w:lang w:val="en-US" w:eastAsia="zh-CN" w:bidi="ar-SA"/>
        </w:rPr>
        <w:t>小时内完成维修或更换，相关费用由乙方承担。如乙方不及时履行保修义务，甲方有权委托第三方进行维修，由此产生的相关费用，在支付价款中予以扣除或要求乙方支付对应货物价款。</w:t>
      </w:r>
    </w:p>
    <w:p w14:paraId="0AC5C36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5.1.3 质保期内，乙方每年至少对硬件进行</w:t>
      </w:r>
      <w:r>
        <w:rPr>
          <w:rFonts w:hint="eastAsia" w:ascii="宋体" w:hAnsi="宋体" w:eastAsia="宋体" w:cs="宋体"/>
          <w:b w:val="0"/>
          <w:bCs w:val="0"/>
          <w:color w:val="auto"/>
          <w:kern w:val="2"/>
          <w:sz w:val="24"/>
          <w:szCs w:val="24"/>
          <w:u w:val="single"/>
          <w:lang w:val="en-US" w:eastAsia="zh-CN" w:bidi="ar-SA"/>
        </w:rPr>
        <w:t xml:space="preserve"> 4 </w:t>
      </w:r>
      <w:r>
        <w:rPr>
          <w:rFonts w:hint="eastAsia" w:ascii="宋体" w:hAnsi="宋体" w:eastAsia="宋体" w:cs="宋体"/>
          <w:b w:val="0"/>
          <w:bCs w:val="0"/>
          <w:color w:val="auto"/>
          <w:kern w:val="2"/>
          <w:sz w:val="24"/>
          <w:szCs w:val="24"/>
          <w:lang w:val="en-US" w:eastAsia="zh-CN" w:bidi="ar-SA"/>
        </w:rPr>
        <w:t>次巡检并提供巡检报告。</w:t>
      </w:r>
    </w:p>
    <w:p w14:paraId="13D2BFC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5.1.4 质保期届满后，如硬件出现问题，乙方应在接到甲方通知（包括电话通知）后24小时内到场，到场后4小时内完成维修或更换，相关费用由甲方承担，但费用不得超出当时市场价格。</w:t>
      </w:r>
    </w:p>
    <w:p w14:paraId="5E4F27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5.1.5 乙方须指派</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，电话：</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，专门负责与甲方联系硬件售后服务事宜，如人员发生变动，应及时通知甲方，如因未通知造成甲方损失的，乙方应承担全部经济赔偿责任。</w:t>
      </w:r>
    </w:p>
    <w:p w14:paraId="3014D9E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 软件系统维保服务</w:t>
      </w:r>
    </w:p>
    <w:p w14:paraId="2C1D49B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5.2.1 本合同软件系统</w:t>
      </w:r>
      <w:r>
        <w:rPr>
          <w:rFonts w:hint="eastAsia" w:ascii="宋体" w:hAnsi="宋体" w:eastAsia="宋体" w:cs="宋体"/>
          <w:b w:val="0"/>
          <w:bCs w:val="0"/>
          <w:color w:val="FF0000"/>
          <w:kern w:val="2"/>
          <w:sz w:val="24"/>
          <w:szCs w:val="24"/>
          <w:highlight w:val="none"/>
          <w:lang w:val="en-US" w:eastAsia="zh-CN" w:bidi="ar-SA"/>
        </w:rPr>
        <w:t>免费</w:t>
      </w:r>
      <w:r>
        <w:rPr>
          <w:rFonts w:hint="eastAsia" w:ascii="宋体" w:hAnsi="宋体" w:eastAsia="宋体" w:cs="宋体"/>
          <w:b w:val="0"/>
          <w:bCs w:val="0"/>
          <w:color w:val="auto"/>
          <w:kern w:val="2"/>
          <w:sz w:val="24"/>
          <w:szCs w:val="24"/>
          <w:lang w:val="en-US" w:eastAsia="zh-CN" w:bidi="ar-SA"/>
        </w:rPr>
        <w:t>维保服务期限为</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b w:val="0"/>
          <w:bCs w:val="0"/>
          <w:color w:val="0000FF"/>
          <w:kern w:val="2"/>
          <w:sz w:val="24"/>
          <w:szCs w:val="24"/>
          <w:u w:val="single"/>
          <w:lang w:val="en-US" w:eastAsia="zh-CN" w:bidi="ar-SA"/>
        </w:rPr>
        <w:t>三</w:t>
      </w:r>
      <w:r>
        <w:rPr>
          <w:rFonts w:hint="eastAsia" w:ascii="宋体" w:hAnsi="宋体" w:eastAsia="宋体" w:cs="宋体"/>
          <w:b w:val="0"/>
          <w:bCs w:val="0"/>
          <w:color w:val="auto"/>
          <w:kern w:val="2"/>
          <w:sz w:val="24"/>
          <w:szCs w:val="24"/>
          <w:u w:val="single"/>
          <w:lang w:val="en-US" w:eastAsia="zh-CN" w:bidi="ar-SA"/>
        </w:rPr>
        <w:t xml:space="preserve"> </w:t>
      </w:r>
      <w:r>
        <w:rPr>
          <w:rFonts w:hint="eastAsia" w:ascii="宋体" w:hAnsi="宋体" w:eastAsia="宋体" w:cs="宋体"/>
          <w:b w:val="0"/>
          <w:bCs w:val="0"/>
          <w:color w:val="auto"/>
          <w:kern w:val="2"/>
          <w:sz w:val="24"/>
          <w:szCs w:val="24"/>
          <w:lang w:val="en-US" w:eastAsia="zh-CN" w:bidi="ar-SA"/>
        </w:rPr>
        <w:t>年，自甲方总体验收合格之日起算。</w:t>
      </w:r>
    </w:p>
    <w:p w14:paraId="7CA29D6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5.2.2 服务方式：</w:t>
      </w:r>
      <w:r>
        <w:rPr>
          <w:rFonts w:hint="eastAsia" w:ascii="宋体" w:hAnsi="宋体" w:eastAsia="宋体" w:cs="宋体"/>
          <w:b w:val="0"/>
          <w:bCs w:val="0"/>
          <w:color w:val="0000FF"/>
          <w:kern w:val="2"/>
          <w:sz w:val="24"/>
          <w:szCs w:val="24"/>
          <w:lang w:val="en-US" w:eastAsia="zh-CN" w:bidi="ar-SA"/>
        </w:rPr>
        <w:t>乙方按甲方要求提供</w:t>
      </w:r>
      <w:r>
        <w:rPr>
          <w:rFonts w:hint="eastAsia" w:ascii="宋体" w:hAnsi="宋体" w:eastAsia="宋体" w:cs="宋体"/>
          <w:b w:val="0"/>
          <w:bCs w:val="0"/>
          <w:color w:val="auto"/>
          <w:kern w:val="2"/>
          <w:sz w:val="24"/>
          <w:szCs w:val="24"/>
          <w:lang w:val="en-US" w:eastAsia="zh-CN" w:bidi="ar-SA"/>
        </w:rPr>
        <w:t>接口升级、调试服务、技术咨询、电话服务、远程服务、现场服务</w:t>
      </w:r>
      <w:r>
        <w:rPr>
          <w:rFonts w:hint="eastAsia" w:ascii="宋体" w:hAnsi="宋体" w:eastAsia="宋体" w:cs="宋体"/>
          <w:b w:val="0"/>
          <w:bCs w:val="0"/>
          <w:color w:val="0000FF"/>
          <w:kern w:val="2"/>
          <w:sz w:val="24"/>
          <w:szCs w:val="24"/>
          <w:lang w:val="en-US" w:eastAsia="zh-CN" w:bidi="ar-SA"/>
        </w:rPr>
        <w:t>等服务</w:t>
      </w:r>
      <w:r>
        <w:rPr>
          <w:rFonts w:hint="eastAsia" w:ascii="宋体" w:hAnsi="宋体" w:eastAsia="宋体" w:cs="宋体"/>
          <w:b w:val="0"/>
          <w:bCs w:val="0"/>
          <w:color w:val="auto"/>
          <w:kern w:val="2"/>
          <w:sz w:val="24"/>
          <w:szCs w:val="24"/>
          <w:lang w:val="en-US" w:eastAsia="zh-CN" w:bidi="ar-SA"/>
        </w:rPr>
        <w:t>。</w:t>
      </w:r>
    </w:p>
    <w:p w14:paraId="05083B6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5.2.3 乙方搭建测试环境，供甲方进行测试联调；提供接口方案调试的技术支持，保证数据完成数据传递。</w:t>
      </w:r>
    </w:p>
    <w:p w14:paraId="7833ECB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5.2.4 远程服务：乙方提供远程监测和远程维护的服务体系，如出现紧急情况，必要时由技术人员通过远程登录系统端，及时进行远程服务。</w:t>
      </w:r>
    </w:p>
    <w:p w14:paraId="4C7FB4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highlight w:val="none"/>
          <w:lang w:val="en-US" w:eastAsia="zh-CN" w:bidi="ar-SA"/>
        </w:rPr>
        <w:t>5.2.5 在</w:t>
      </w:r>
      <w:r>
        <w:rPr>
          <w:rFonts w:hint="eastAsia" w:ascii="宋体" w:hAnsi="宋体" w:eastAsia="宋体" w:cs="宋体"/>
          <w:b w:val="0"/>
          <w:bCs w:val="0"/>
          <w:color w:val="FF0000"/>
          <w:kern w:val="2"/>
          <w:sz w:val="24"/>
          <w:szCs w:val="24"/>
          <w:highlight w:val="none"/>
          <w:lang w:val="en-US" w:eastAsia="zh-CN" w:bidi="ar-SA"/>
        </w:rPr>
        <w:t>免费</w:t>
      </w:r>
      <w:r>
        <w:rPr>
          <w:rFonts w:hint="eastAsia" w:ascii="宋体" w:hAnsi="宋体" w:eastAsia="宋体" w:cs="宋体"/>
          <w:b w:val="0"/>
          <w:bCs w:val="0"/>
          <w:color w:val="auto"/>
          <w:kern w:val="2"/>
          <w:sz w:val="24"/>
          <w:szCs w:val="24"/>
          <w:highlight w:val="none"/>
          <w:lang w:val="en-US" w:eastAsia="zh-CN" w:bidi="ar-SA"/>
        </w:rPr>
        <w:t>维保服务期限内，乙方每周通过电话、邮件、微信等网络方式为甲方提供7天</w:t>
      </w:r>
      <w:r>
        <w:rPr>
          <w:rFonts w:hint="default" w:ascii="宋体" w:hAns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24小时软件技术服务，乙方指定联系人</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、联系电话：</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、电子邮箱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b w:val="0"/>
          <w:bCs w:val="0"/>
          <w:color w:val="auto"/>
          <w:kern w:val="2"/>
          <w:sz w:val="24"/>
          <w:szCs w:val="24"/>
          <w:highlight w:val="none"/>
          <w:lang w:val="en-US" w:eastAsia="zh-CN" w:bidi="ar-SA"/>
        </w:rPr>
        <w:t>、微信号</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专门负责与甲方联络。如系统发生故障，乙方自接到甲方故障通知后30分钟内响应，并通过远程服</w:t>
      </w:r>
      <w:r>
        <w:rPr>
          <w:rFonts w:hint="eastAsia" w:ascii="宋体" w:hAnsi="宋体" w:eastAsia="宋体" w:cs="宋体"/>
          <w:b w:val="0"/>
          <w:bCs w:val="0"/>
          <w:color w:val="auto"/>
          <w:kern w:val="2"/>
          <w:sz w:val="24"/>
          <w:szCs w:val="24"/>
          <w:lang w:val="en-US" w:eastAsia="zh-CN" w:bidi="ar-SA"/>
        </w:rPr>
        <w:t>务进行维护。</w:t>
      </w:r>
    </w:p>
    <w:p w14:paraId="2F67449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0000FF"/>
          <w:kern w:val="2"/>
          <w:sz w:val="24"/>
          <w:szCs w:val="24"/>
          <w:lang w:val="en-US" w:eastAsia="zh-CN" w:bidi="ar-SA"/>
        </w:rPr>
        <w:t>远程服务：</w:t>
      </w:r>
      <w:r>
        <w:rPr>
          <w:rFonts w:hint="eastAsia" w:ascii="宋体" w:hAnsi="宋体" w:eastAsia="宋体" w:cs="宋体"/>
          <w:b w:val="0"/>
          <w:bCs w:val="0"/>
          <w:color w:val="auto"/>
          <w:kern w:val="2"/>
          <w:sz w:val="24"/>
          <w:szCs w:val="24"/>
          <w:lang w:val="en-US" w:eastAsia="zh-CN" w:bidi="ar-SA"/>
        </w:rPr>
        <w:t>一级故障，自接到甲方通知后1小时内确认故障，总故障解决时间不超过4小时；二级故障，自接到甲方通知后2小时内确认故障，总故障解决时间不超过8小时；三、四级故障，应接到甲方通知后4小时内确认故障，总故障解决时间不超过24小时；特殊故障，与甲方协商，</w:t>
      </w:r>
      <w:r>
        <w:rPr>
          <w:rFonts w:hint="eastAsia" w:ascii="宋体" w:hAnsi="宋体" w:eastAsia="宋体" w:cs="宋体"/>
          <w:b w:val="0"/>
          <w:bCs w:val="0"/>
          <w:color w:val="0000FF"/>
          <w:kern w:val="2"/>
          <w:sz w:val="24"/>
          <w:szCs w:val="24"/>
          <w:lang w:val="en-US" w:eastAsia="zh-CN" w:bidi="ar-SA"/>
        </w:rPr>
        <w:t>按照经甲方同意的方案和时间表解决故障</w:t>
      </w:r>
      <w:r>
        <w:rPr>
          <w:rFonts w:hint="eastAsia" w:ascii="宋体" w:hAnsi="宋体" w:eastAsia="宋体" w:cs="宋体"/>
          <w:b w:val="0"/>
          <w:bCs w:val="0"/>
          <w:color w:val="auto"/>
          <w:kern w:val="2"/>
          <w:sz w:val="24"/>
          <w:szCs w:val="24"/>
          <w:lang w:val="en-US" w:eastAsia="zh-CN" w:bidi="ar-SA"/>
        </w:rPr>
        <w:t>。</w:t>
      </w:r>
    </w:p>
    <w:p w14:paraId="05D6FB50">
      <w:pPr>
        <w:pStyle w:val="2"/>
        <w:keepNext w:val="0"/>
        <w:keepLines w:val="0"/>
        <w:pageBreakBefore w:val="0"/>
        <w:widowControl w:val="0"/>
        <w:kinsoku/>
        <w:wordWrap/>
        <w:topLinePunct w:val="0"/>
        <w:bidi w:val="0"/>
        <w:snapToGrid/>
        <w:spacing w:before="0" w:after="0" w:line="480" w:lineRule="exact"/>
        <w:ind w:left="0" w:leftChars="0" w:firstLine="480" w:firstLineChars="200"/>
        <w:rPr>
          <w:rFonts w:hint="eastAsia"/>
          <w:lang w:val="en-US" w:eastAsia="zh-CN"/>
        </w:rPr>
      </w:pPr>
      <w:r>
        <w:rPr>
          <w:rFonts w:hint="eastAsia" w:ascii="宋体" w:hAnsi="宋体" w:eastAsia="宋体" w:cs="宋体"/>
          <w:b w:val="0"/>
          <w:bCs w:val="0"/>
          <w:color w:val="0000FF"/>
          <w:kern w:val="2"/>
          <w:sz w:val="24"/>
          <w:szCs w:val="24"/>
          <w:lang w:val="en-US" w:eastAsia="zh-CN" w:bidi="ar-SA"/>
        </w:rPr>
        <w:t>现场服务：</w:t>
      </w:r>
      <w:r>
        <w:rPr>
          <w:rFonts w:hint="eastAsia" w:ascii="宋体" w:hAnsi="宋体" w:eastAsia="宋体" w:cs="宋体"/>
          <w:b w:val="0"/>
          <w:bCs w:val="0"/>
          <w:color w:val="auto"/>
          <w:kern w:val="2"/>
          <w:sz w:val="24"/>
          <w:szCs w:val="24"/>
          <w:lang w:val="en-US" w:eastAsia="zh-CN" w:bidi="ar-SA"/>
        </w:rPr>
        <w:t>如远程服务无法解决，乙方应免费上门服务，普通情况应自接到甲方通知后48小时内到达现场，紧急情况应自接到甲方通知后24小时内到达现场，与甲方协商，</w:t>
      </w:r>
      <w:r>
        <w:rPr>
          <w:rFonts w:hint="eastAsia" w:ascii="宋体" w:hAnsi="宋体" w:eastAsia="宋体" w:cs="宋体"/>
          <w:b w:val="0"/>
          <w:bCs w:val="0"/>
          <w:color w:val="0000FF"/>
          <w:kern w:val="2"/>
          <w:sz w:val="24"/>
          <w:szCs w:val="24"/>
          <w:lang w:val="en-US" w:eastAsia="zh-CN" w:bidi="ar-SA"/>
        </w:rPr>
        <w:t>按照经甲方同意的方案和时间表解决故障</w:t>
      </w:r>
      <w:r>
        <w:rPr>
          <w:rFonts w:hint="eastAsia" w:ascii="宋体" w:hAnsi="宋体" w:eastAsia="宋体" w:cs="宋体"/>
          <w:b w:val="0"/>
          <w:bCs w:val="0"/>
          <w:color w:val="auto"/>
          <w:kern w:val="2"/>
          <w:sz w:val="24"/>
          <w:szCs w:val="24"/>
          <w:lang w:val="en-US" w:eastAsia="zh-CN" w:bidi="ar-SA"/>
        </w:rPr>
        <w:t>。</w:t>
      </w:r>
    </w:p>
    <w:p w14:paraId="6E629AF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5.3 在</w:t>
      </w:r>
      <w:r>
        <w:rPr>
          <w:rFonts w:hint="eastAsia" w:ascii="宋体" w:hAnsi="宋体" w:eastAsia="宋体" w:cs="宋体"/>
          <w:b w:val="0"/>
          <w:bCs w:val="0"/>
          <w:color w:val="FF0000"/>
          <w:kern w:val="2"/>
          <w:sz w:val="24"/>
          <w:szCs w:val="24"/>
          <w:lang w:val="en-US" w:eastAsia="zh-CN" w:bidi="ar-SA"/>
        </w:rPr>
        <w:t>免费</w:t>
      </w:r>
      <w:r>
        <w:rPr>
          <w:rFonts w:hint="eastAsia" w:ascii="宋体" w:hAnsi="宋体" w:eastAsia="宋体" w:cs="宋体"/>
          <w:b w:val="0"/>
          <w:bCs w:val="0"/>
          <w:color w:val="auto"/>
          <w:kern w:val="2"/>
          <w:sz w:val="24"/>
          <w:szCs w:val="24"/>
          <w:lang w:val="en-US" w:eastAsia="zh-CN" w:bidi="ar-SA"/>
        </w:rPr>
        <w:t>维保服务期限内，乙方每月进行一次客户回访，对乙方各类服务人员的服务质量进行监督；乙方客户管理中心在完成客户服务后一个月内对甲方进行回访及满意度调查等工作，并将结果纳入乙方服务人员考核体系。</w:t>
      </w:r>
    </w:p>
    <w:p w14:paraId="24D2F96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auto"/>
          <w:kern w:val="2"/>
          <w:sz w:val="24"/>
          <w:szCs w:val="24"/>
          <w:lang w:val="en-US" w:eastAsia="zh-CN" w:bidi="ar-SA"/>
        </w:rPr>
        <w:t xml:space="preserve">5.4 </w:t>
      </w:r>
      <w:r>
        <w:rPr>
          <w:rFonts w:hint="eastAsia" w:ascii="宋体" w:hAnsi="宋体" w:eastAsia="宋体" w:cs="宋体"/>
          <w:b w:val="0"/>
          <w:bCs w:val="0"/>
          <w:color w:val="auto"/>
          <w:spacing w:val="-11"/>
          <w:kern w:val="2"/>
          <w:sz w:val="24"/>
          <w:szCs w:val="24"/>
          <w:lang w:val="en-US" w:eastAsia="zh-CN" w:bidi="ar-SA"/>
        </w:rPr>
        <w:t>免费维保服务期限届满后，甲方依规采购软件维保服务，乙方承诺</w:t>
      </w:r>
      <w:r>
        <w:rPr>
          <w:rFonts w:hint="eastAsia" w:ascii="宋体" w:hAnsi="宋体" w:eastAsia="宋体" w:cs="宋体"/>
          <w:b w:val="0"/>
          <w:bCs w:val="0"/>
          <w:color w:val="FF0000"/>
          <w:spacing w:val="-11"/>
          <w:kern w:val="2"/>
          <w:sz w:val="24"/>
          <w:szCs w:val="24"/>
          <w:lang w:val="en-US" w:eastAsia="zh-CN" w:bidi="ar-SA"/>
        </w:rPr>
        <w:t>如成为维保服务单位，向甲方收取的</w:t>
      </w:r>
      <w:r>
        <w:rPr>
          <w:rFonts w:hint="eastAsia" w:ascii="宋体" w:hAnsi="宋体" w:eastAsia="宋体" w:cs="宋体"/>
          <w:b w:val="0"/>
          <w:bCs w:val="0"/>
          <w:color w:val="auto"/>
          <w:spacing w:val="-11"/>
          <w:kern w:val="2"/>
          <w:sz w:val="24"/>
          <w:szCs w:val="24"/>
          <w:lang w:val="en-US" w:eastAsia="zh-CN" w:bidi="ar-SA"/>
        </w:rPr>
        <w:t>年度维保费用不高于</w:t>
      </w:r>
      <w:r>
        <w:rPr>
          <w:rFonts w:hint="eastAsia" w:ascii="宋体" w:hAnsi="宋体" w:eastAsia="宋体" w:cs="宋体"/>
          <w:b w:val="0"/>
          <w:bCs w:val="0"/>
          <w:color w:val="0000FF"/>
          <w:spacing w:val="-11"/>
          <w:kern w:val="2"/>
          <w:sz w:val="24"/>
          <w:szCs w:val="24"/>
          <w:lang w:val="en-US" w:eastAsia="zh-CN" w:bidi="ar-SA"/>
        </w:rPr>
        <w:t>摆渡</w:t>
      </w:r>
      <w:r>
        <w:rPr>
          <w:rFonts w:hint="eastAsia" w:ascii="宋体" w:hAnsi="宋体" w:eastAsia="宋体" w:cs="宋体"/>
          <w:bCs/>
          <w:color w:val="0000FF"/>
          <w:spacing w:val="-11"/>
          <w:sz w:val="24"/>
          <w:szCs w:val="24"/>
          <w:highlight w:val="none"/>
          <w:u w:val="none"/>
        </w:rPr>
        <w:t>系统</w:t>
      </w:r>
      <w:r>
        <w:rPr>
          <w:rFonts w:hint="eastAsia" w:ascii="宋体" w:hAnsi="宋体" w:eastAsia="宋体" w:cs="宋体"/>
          <w:bCs/>
          <w:color w:val="0000FF"/>
          <w:spacing w:val="-11"/>
          <w:sz w:val="24"/>
          <w:szCs w:val="24"/>
          <w:highlight w:val="none"/>
          <w:u w:val="none"/>
          <w:lang w:val="en-US" w:eastAsia="zh-CN"/>
        </w:rPr>
        <w:t>软件金额的</w:t>
      </w:r>
      <w:r>
        <w:rPr>
          <w:rFonts w:hint="eastAsia" w:ascii="宋体" w:hAnsi="宋体" w:eastAsia="宋体" w:cs="宋体"/>
          <w:b w:val="0"/>
          <w:bCs w:val="0"/>
          <w:color w:val="auto"/>
          <w:spacing w:val="-11"/>
          <w:kern w:val="2"/>
          <w:sz w:val="24"/>
          <w:szCs w:val="24"/>
          <w:u w:val="single"/>
          <w:lang w:val="en-US" w:eastAsia="zh-CN" w:bidi="ar-SA"/>
        </w:rPr>
        <w:t xml:space="preserve"> 8 </w:t>
      </w:r>
      <w:r>
        <w:rPr>
          <w:rFonts w:hint="eastAsia" w:ascii="宋体" w:hAnsi="宋体" w:eastAsia="宋体" w:cs="宋体"/>
          <w:b w:val="0"/>
          <w:bCs w:val="0"/>
          <w:color w:val="auto"/>
          <w:spacing w:val="-11"/>
          <w:kern w:val="2"/>
          <w:sz w:val="24"/>
          <w:szCs w:val="24"/>
          <w:lang w:val="en-US" w:eastAsia="zh-CN" w:bidi="ar-SA"/>
        </w:rPr>
        <w:t>%</w:t>
      </w:r>
      <w:r>
        <w:rPr>
          <w:rFonts w:hint="eastAsia" w:ascii="宋体" w:hAnsi="宋体" w:eastAsia="宋体" w:cs="宋体"/>
          <w:b w:val="0"/>
          <w:bCs w:val="0"/>
          <w:color w:val="0000FF"/>
          <w:spacing w:val="-11"/>
          <w:kern w:val="2"/>
          <w:sz w:val="24"/>
          <w:szCs w:val="24"/>
          <w:lang w:val="en-US" w:eastAsia="zh-CN" w:bidi="ar-SA"/>
        </w:rPr>
        <w:t>即人民币</w:t>
      </w:r>
      <w:r>
        <w:rPr>
          <w:rFonts w:hint="eastAsia" w:ascii="宋体" w:hAnsi="宋体" w:eastAsia="宋体" w:cs="宋体"/>
          <w:b w:val="0"/>
          <w:bCs w:val="0"/>
          <w:color w:val="0000FF"/>
          <w:spacing w:val="-11"/>
          <w:kern w:val="2"/>
          <w:sz w:val="24"/>
          <w:szCs w:val="24"/>
          <w:u w:val="single"/>
          <w:lang w:val="en-US" w:eastAsia="zh-CN" w:bidi="ar-SA"/>
        </w:rPr>
        <w:t xml:space="preserve">    </w:t>
      </w:r>
      <w:r>
        <w:rPr>
          <w:rFonts w:hint="eastAsia" w:ascii="宋体" w:hAnsi="宋体" w:eastAsia="宋体" w:cs="宋体"/>
          <w:b w:val="0"/>
          <w:bCs w:val="0"/>
          <w:color w:val="0000FF"/>
          <w:spacing w:val="-11"/>
          <w:kern w:val="2"/>
          <w:sz w:val="24"/>
          <w:szCs w:val="24"/>
          <w:u w:val="none"/>
          <w:lang w:val="en-US" w:eastAsia="zh-CN" w:bidi="ar-SA"/>
        </w:rPr>
        <w:t>元</w:t>
      </w:r>
      <w:r>
        <w:rPr>
          <w:rFonts w:hint="eastAsia" w:ascii="宋体" w:hAnsi="宋体" w:eastAsia="宋体" w:cs="宋体"/>
          <w:b w:val="0"/>
          <w:bCs w:val="0"/>
          <w:color w:val="auto"/>
          <w:spacing w:val="-11"/>
          <w:kern w:val="2"/>
          <w:sz w:val="24"/>
          <w:szCs w:val="24"/>
          <w:lang w:val="en-US" w:eastAsia="zh-CN" w:bidi="ar-SA"/>
        </w:rPr>
        <w:t>，具体费用以后续采购项目确定的费用为准。</w:t>
      </w:r>
    </w:p>
    <w:p w14:paraId="0874B2B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 xml:space="preserve">第六条 </w:t>
      </w:r>
      <w:r>
        <w:rPr>
          <w:rFonts w:hint="eastAsia" w:ascii="宋体" w:hAnsi="宋体" w:eastAsia="宋体" w:cs="宋体"/>
          <w:b/>
          <w:bCs/>
          <w:color w:val="auto"/>
          <w:sz w:val="24"/>
          <w:szCs w:val="24"/>
          <w:lang w:val="en-US" w:eastAsia="zh-CN"/>
        </w:rPr>
        <w:t>甲方其他权利和义务</w:t>
      </w:r>
    </w:p>
    <w:p w14:paraId="799414A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6.1 为乙方履行本合同服务提供必要工作条件，包括软件运行环境和必要的硬件支持。</w:t>
      </w:r>
    </w:p>
    <w:p w14:paraId="56CF3C1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6.2指定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lang w:val="en-US" w:eastAsia="zh-CN"/>
        </w:rPr>
        <w:t>为甲方项目联系人。</w:t>
      </w:r>
    </w:p>
    <w:p w14:paraId="3500652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val="en-US" w:eastAsia="zh-CN"/>
        </w:rPr>
        <w:t>6.3 有权监督乙方工作，要求乙方在接到通知后</w:t>
      </w:r>
      <w:r>
        <w:rPr>
          <w:rFonts w:hint="eastAsia" w:ascii="宋体" w:hAnsi="宋体" w:eastAsia="宋体" w:cs="宋体"/>
          <w:b w:val="0"/>
          <w:bCs w:val="0"/>
          <w:color w:val="auto"/>
          <w:sz w:val="24"/>
          <w:szCs w:val="24"/>
          <w:u w:val="single"/>
          <w:lang w:val="en-US" w:eastAsia="zh-CN"/>
        </w:rPr>
        <w:t xml:space="preserve"> 3 </w:t>
      </w:r>
      <w:r>
        <w:rPr>
          <w:rFonts w:hint="eastAsia" w:ascii="宋体" w:hAnsi="宋体" w:eastAsia="宋体" w:cs="宋体"/>
          <w:b w:val="0"/>
          <w:bCs w:val="0"/>
          <w:color w:val="auto"/>
          <w:sz w:val="24"/>
          <w:szCs w:val="24"/>
          <w:u w:val="none"/>
          <w:lang w:val="en-US" w:eastAsia="zh-CN"/>
        </w:rPr>
        <w:t>日内更换不符合质保或维保服务要求的工作人员。</w:t>
      </w:r>
    </w:p>
    <w:p w14:paraId="5D64A2C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firstLine="482" w:firstLineChars="200"/>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kern w:val="2"/>
          <w:sz w:val="24"/>
          <w:szCs w:val="24"/>
          <w:lang w:val="en-US" w:eastAsia="zh-CN" w:bidi="ar-SA"/>
        </w:rPr>
        <w:t xml:space="preserve">第七条 </w:t>
      </w:r>
      <w:r>
        <w:rPr>
          <w:rFonts w:hint="eastAsia" w:ascii="宋体" w:hAnsi="宋体" w:eastAsia="宋体" w:cs="宋体"/>
          <w:b/>
          <w:bCs/>
          <w:color w:val="auto"/>
          <w:sz w:val="24"/>
          <w:szCs w:val="24"/>
          <w:u w:val="none"/>
          <w:lang w:val="en-US" w:eastAsia="zh-CN"/>
        </w:rPr>
        <w:t>乙方其他权利和义务</w:t>
      </w:r>
    </w:p>
    <w:p w14:paraId="63AC67A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7.1 乙方履行本合同必须符合国家法律法规和行业技术规范要求，遵守甲方制度，确保不存在任何网络安全及其他安全隐患，否则由乙方承担全部法律责任和经济赔偿。 </w:t>
      </w:r>
    </w:p>
    <w:p w14:paraId="6A51A056">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7.2 乙方确保履行本合同不会引发任何知识产权纠纷，否则由乙方承担全部法律责任和经济赔偿。 </w:t>
      </w:r>
    </w:p>
    <w:p w14:paraId="6CB94575">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7.3 提供本合同全部软件的后台管理账号，供甲方管理员及职工使用。</w:t>
      </w:r>
    </w:p>
    <w:p w14:paraId="7E68298B">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7.4 乙方保证提供的系统管理软件在免费服务期内均为最新版本，且提供最新版本的升级服务，确保该软件能够正常、顺畅、安全地使用；并确保与甲方其他所需系统的数据传输，全程配合院方数据的采集、传输、分析、治理需求。</w:t>
      </w:r>
    </w:p>
    <w:p w14:paraId="21EE73A2">
      <w:pPr>
        <w:keepNext w:val="0"/>
        <w:keepLines w:val="0"/>
        <w:pageBreakBefore w:val="0"/>
        <w:widowControl w:val="0"/>
        <w:kinsoku/>
        <w:wordWrap/>
        <w:overflowPunct/>
        <w:topLinePunct w:val="0"/>
        <w:autoSpaceDE/>
        <w:autoSpaceDN/>
        <w:bidi w:val="0"/>
        <w:adjustRightInd/>
        <w:snapToGrid/>
        <w:spacing w:line="480" w:lineRule="exact"/>
        <w:ind w:right="0" w:firstLine="480" w:firstLineChars="200"/>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lang w:val="en-US" w:eastAsia="zh-CN"/>
        </w:rPr>
        <w:t>7.5 指定</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）为乙方项目联系人。</w:t>
      </w:r>
    </w:p>
    <w:p w14:paraId="4C95EE3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付款时间、方式</w:t>
      </w:r>
    </w:p>
    <w:p w14:paraId="187BCA9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甲方分</w:t>
      </w:r>
      <w:r>
        <w:rPr>
          <w:rFonts w:hint="eastAsia" w:ascii="宋体" w:hAnsi="宋体" w:eastAsia="宋体" w:cs="宋体"/>
          <w:color w:val="0000FF"/>
          <w:sz w:val="24"/>
          <w:szCs w:val="24"/>
          <w:lang w:val="en-US" w:eastAsia="zh-CN"/>
        </w:rPr>
        <w:t>二</w:t>
      </w:r>
      <w:r>
        <w:rPr>
          <w:rFonts w:hint="eastAsia" w:ascii="宋体" w:hAnsi="宋体" w:eastAsia="宋体" w:cs="宋体"/>
          <w:color w:val="auto"/>
          <w:sz w:val="24"/>
          <w:szCs w:val="24"/>
          <w:lang w:val="en-US" w:eastAsia="zh-CN"/>
        </w:rPr>
        <w:t>次支付费用至乙方指定收款账户：自甲方总体验收合格之日起</w:t>
      </w:r>
      <w:r>
        <w:rPr>
          <w:rFonts w:hint="eastAsia" w:ascii="宋体" w:hAnsi="宋体" w:eastAsia="宋体" w:cs="宋体"/>
          <w:color w:val="FF0000"/>
          <w:sz w:val="24"/>
          <w:szCs w:val="24"/>
          <w:lang w:val="en-US" w:eastAsia="zh-CN"/>
        </w:rPr>
        <w:t>三十日</w:t>
      </w:r>
      <w:r>
        <w:rPr>
          <w:rFonts w:hint="eastAsia" w:ascii="宋体" w:hAnsi="宋体" w:eastAsia="宋体" w:cs="宋体"/>
          <w:color w:val="auto"/>
          <w:sz w:val="24"/>
          <w:szCs w:val="24"/>
          <w:lang w:val="en-US" w:eastAsia="zh-CN"/>
        </w:rPr>
        <w:t>内，支付总费用的</w:t>
      </w:r>
      <w:r>
        <w:rPr>
          <w:rFonts w:hint="eastAsia" w:ascii="宋体" w:hAnsi="宋体" w:eastAsia="宋体" w:cs="宋体"/>
          <w:color w:val="auto"/>
          <w:sz w:val="24"/>
          <w:szCs w:val="24"/>
          <w:u w:val="single"/>
          <w:lang w:val="en-US" w:eastAsia="zh-CN"/>
        </w:rPr>
        <w:t xml:space="preserve"> 90% </w:t>
      </w:r>
      <w:r>
        <w:rPr>
          <w:rFonts w:hint="eastAsia" w:ascii="宋体" w:hAnsi="宋体" w:eastAsia="宋体" w:cs="宋体"/>
          <w:color w:val="auto"/>
          <w:sz w:val="24"/>
          <w:szCs w:val="24"/>
          <w:lang w:val="en-US" w:eastAsia="zh-CN"/>
        </w:rPr>
        <w:t>即人民币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元整（小写：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元）；自甲方总体验收合格满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FF"/>
          <w:sz w:val="24"/>
          <w:szCs w:val="24"/>
          <w:u w:val="single"/>
          <w:lang w:val="en-US" w:eastAsia="zh-CN"/>
        </w:rPr>
        <w:t xml:space="preserve">3 </w:t>
      </w:r>
      <w:r>
        <w:rPr>
          <w:rFonts w:hint="eastAsia" w:ascii="宋体" w:hAnsi="宋体" w:eastAsia="宋体" w:cs="宋体"/>
          <w:color w:val="auto"/>
          <w:sz w:val="24"/>
          <w:szCs w:val="24"/>
          <w:lang w:val="en-US" w:eastAsia="zh-CN"/>
        </w:rPr>
        <w:t>年后的</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个工作日内，支付总费用的</w:t>
      </w:r>
      <w:r>
        <w:rPr>
          <w:rFonts w:hint="eastAsia" w:ascii="宋体" w:hAnsi="宋体" w:eastAsia="宋体" w:cs="宋体"/>
          <w:color w:val="auto"/>
          <w:sz w:val="24"/>
          <w:szCs w:val="24"/>
          <w:u w:val="single"/>
          <w:lang w:val="en-US" w:eastAsia="zh-CN"/>
        </w:rPr>
        <w:t xml:space="preserve"> 10% </w:t>
      </w:r>
      <w:r>
        <w:rPr>
          <w:rFonts w:hint="eastAsia" w:ascii="宋体" w:hAnsi="宋体" w:eastAsia="宋体" w:cs="宋体"/>
          <w:color w:val="auto"/>
          <w:sz w:val="24"/>
          <w:szCs w:val="24"/>
          <w:lang w:val="en-US" w:eastAsia="zh-CN"/>
        </w:rPr>
        <w:t>即人民币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元整（小写：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p>
    <w:p w14:paraId="40E1B92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乙方指定收款账户为：</w:t>
      </w:r>
    </w:p>
    <w:p w14:paraId="0B10B5E2">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账户名：</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727819A">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356DA107">
      <w:pPr>
        <w:keepNext w:val="0"/>
        <w:keepLines w:val="0"/>
        <w:pageBreakBefore w:val="0"/>
        <w:widowControl w:val="0"/>
        <w:kinsoku/>
        <w:wordWrap/>
        <w:overflowPunct/>
        <w:topLinePunct w:val="0"/>
        <w:autoSpaceDE/>
        <w:autoSpaceDN/>
        <w:bidi w:val="0"/>
        <w:adjustRightInd/>
        <w:snapToGrid/>
        <w:spacing w:line="480" w:lineRule="exact"/>
        <w:ind w:left="0" w:leftChars="0" w:right="0" w:firstLine="720" w:firstLine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账号：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7995C1D2">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8.3 乙方应在甲方首次支付前提供以乙方名义开具的全额增值税普通发票。如乙方未提供发票，甲方有权顺延付款，由此产生的全部责任均由乙方承担。 </w:t>
      </w:r>
    </w:p>
    <w:p w14:paraId="433ECAB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第九条 风险承担</w:t>
      </w:r>
    </w:p>
    <w:p w14:paraId="682E360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9.1 乙方履行本合同过程中发生事故，包括但不限于在运输、装卸、安装及调试过程中发生事故，给甲方、乙方或第三方人身、财产造成的所有损失，均由乙方负责处理和承担全部法律责任、经济赔偿。</w:t>
      </w:r>
    </w:p>
    <w:p w14:paraId="7EC780D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9.2 本合同货物毁损、丢失的风险自甲方在验收报告单上签字确认合格后转移给甲方，此前货物的一切风险均由乙方承担。</w:t>
      </w:r>
    </w:p>
    <w:p w14:paraId="39202F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9.3 如甲方因乙方货物、质保服务等原因涉及纠纷、诉讼或被处以行政处罚，由乙方承担甲方因纠纷、诉讼、罚款等造成的全部经济损失。</w:t>
      </w:r>
    </w:p>
    <w:p w14:paraId="1CBCC16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第十条 廉洁条款</w:t>
      </w:r>
    </w:p>
    <w:p w14:paraId="199E5CF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default" w:ascii="宋体" w:hAnsi="宋体" w:eastAsia="宋体" w:cs="宋体"/>
          <w:color w:val="000000" w:themeColor="text1"/>
          <w:sz w:val="24"/>
          <w:szCs w:val="24"/>
          <w:highlight w:val="none"/>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2DC6E4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10</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77D7BEA">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第十一条 保密条款</w:t>
      </w:r>
    </w:p>
    <w:p w14:paraId="48DE035B">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 双方在磋商、签订、履行本合同过程中知晓的任何形式的信息、资料、数据（以下合称“保密信息”），双方约定如下：</w:t>
      </w:r>
    </w:p>
    <w:p w14:paraId="0ECDA99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 未经任意一方书面同意，不得将保密信息用于任何非本合同之目的用途。</w:t>
      </w:r>
    </w:p>
    <w:p w14:paraId="056CB777">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1.2 未经任意一方书面同意，不得将保密信息透露给任何第三方。不得允许（出借、赠予、出租、转让等处理保密信息的行为皆属于“允许”）或协助未经授权的第三方使用保密信息。</w:t>
      </w:r>
    </w:p>
    <w:p w14:paraId="1309209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1.3 乙方保证对甲方提供的保密信息予以妥善保存，并至少采取适用于对自己的保密信息同样的保护措施和审慎程度进行保密。</w:t>
      </w:r>
    </w:p>
    <w:p w14:paraId="2EC8CE1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1.4 乙方不得刺探与本身业务无关的甲方保密信息。</w:t>
      </w:r>
    </w:p>
    <w:p w14:paraId="41BB91A2">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39B22F1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1.6 项目终止后，乙方应立即将甲方的保密信息全部载体归还甲方，或根据甲方的要求予以销毁，不得以任何形式保留原件或备份。</w:t>
      </w:r>
    </w:p>
    <w:p w14:paraId="1BDA1FE8">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1.7 未经甲方书面同意许可，乙方无权将甲方现在运行的任何系统的技术信息和数据以及本协议信息等以任何方式透露给任何与合同执行无关的第三方，否则，由乙方承担由此造成的一切法律后果。</w:t>
      </w:r>
    </w:p>
    <w:p w14:paraId="64BE6E7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1.8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19D9A154">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1.9 如果乙方被要求向政府部门、法院或其他有权部门提供保密信息，乙方应立即向甲方予以通报。</w:t>
      </w:r>
    </w:p>
    <w:p w14:paraId="6159C3E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1.10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21B23EE6">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1.11 保密义务同样适用于有关未经注册或未被授予专利权的发明的文件和信息。因对本协议所指保密信息的使用而直接或间接产生的知识产权方面的权利由双方当事人协商决定其归属。</w:t>
      </w:r>
    </w:p>
    <w:p w14:paraId="41DECF68">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1.12 涉密人员包括合同知情人、参与履行本合同的人员。</w:t>
      </w:r>
    </w:p>
    <w:p w14:paraId="68161765">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 本合同中所说“保密信息”指如下信息：</w:t>
      </w:r>
    </w:p>
    <w:p w14:paraId="7E9C1E0C">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2.1 双方就合同订立、履行、变更等产生的研究、商讨、交流等信息。</w:t>
      </w:r>
    </w:p>
    <w:p w14:paraId="7B8169EB">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 与甲方有关为乙方知晓、保存或可能上传、交换的信息，包括但不限于如下：</w:t>
      </w:r>
    </w:p>
    <w:p w14:paraId="3734297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2.2.1 技术信息：包括涉及甲方信息化建设中的技术信息，包括软件技术、数据、管理文件等。</w:t>
      </w:r>
    </w:p>
    <w:p w14:paraId="27F3A2C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2.2.2 人事信息：包括涉及甲方的人事档案、薪酬及考核等人力资源管理信息。</w:t>
      </w:r>
    </w:p>
    <w:p w14:paraId="1737287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2.2.3 医院运行信息：包括涉及甲方业务运行的各种信息，医院经营方向、经营决策、定价政策以及内部掌握的合同、协议、项目方案等。</w:t>
      </w:r>
    </w:p>
    <w:p w14:paraId="7FBC5B9F">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2.2.4 财务信息：包括涉及甲方的各项财务报表、成本及预算报告、员工工资等。</w:t>
      </w:r>
    </w:p>
    <w:p w14:paraId="467010C3">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2.2.5 患者信息：包括涉及甲方门诊、住院患者的相关诊疗信息，如患者基本信息、诊疗计划、病历信息、费用信息、处方等。</w:t>
      </w:r>
    </w:p>
    <w:p w14:paraId="6CCF956D">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2.2.6 应当予以保密的商业秘密、个人隐私等信息。</w:t>
      </w:r>
    </w:p>
    <w:p w14:paraId="2394781E">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3 本合同约定的保密信息为永久绝对保密，保密条款在本合同终止后仍然有效。</w:t>
      </w:r>
    </w:p>
    <w:p w14:paraId="1053DD1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第十二条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4EF679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12.1 甲乙双方同意，与本合同有关的任何文书，应以书面方式按照本合同约定发送，书面方式包括手机短信、微信、书面函件、电子邮件等形式。</w:t>
      </w:r>
    </w:p>
    <w:p w14:paraId="65393D5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12.2 双方确认的文书（包括未来可能发生的诉讼或仲裁活动中法院或仲裁机构的送达法律文书）送达地址：</w:t>
      </w:r>
    </w:p>
    <w:p w14:paraId="69F359A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12.2.1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49AB876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12.2.2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181C9AB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12.3 上述通知应被视为在下列时间送达：以快递或专人发送的，在收件人签收之日或拒收之日；以挂号邮件发出的，在发出之日起7个工作日；以电子邮件发出的，在电子邮件进入收件方电子邮箱服务器之日。</w:t>
      </w:r>
    </w:p>
    <w:p w14:paraId="79B2EA3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12.4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45A5F00">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三</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D5F583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本合同经双方协商一致后可以变更，双方应另行签订补充协议。</w:t>
      </w:r>
    </w:p>
    <w:p w14:paraId="1E5335A8">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 出现以下情形之一的，甲方有权单方面解除合同：</w:t>
      </w:r>
    </w:p>
    <w:p w14:paraId="4DEAF827">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2.1 乙方逾期</w:t>
      </w:r>
      <w:r>
        <w:rPr>
          <w:rFonts w:hint="eastAsia" w:ascii="宋体" w:hAnsi="宋体" w:eastAsia="宋体" w:cs="宋体"/>
          <w:color w:val="auto"/>
          <w:sz w:val="24"/>
          <w:szCs w:val="24"/>
          <w:u w:val="single"/>
          <w:lang w:val="en-US" w:eastAsia="zh-CN"/>
        </w:rPr>
        <w:t xml:space="preserve"> 7 </w:t>
      </w:r>
      <w:r>
        <w:rPr>
          <w:rFonts w:hint="eastAsia" w:ascii="宋体" w:hAnsi="宋体" w:eastAsia="宋体" w:cs="宋体"/>
          <w:color w:val="auto"/>
          <w:sz w:val="24"/>
          <w:szCs w:val="24"/>
          <w:lang w:val="en-US" w:eastAsia="zh-CN"/>
        </w:rPr>
        <w:t>日</w:t>
      </w:r>
      <w:r>
        <w:rPr>
          <w:rFonts w:hint="eastAsia" w:ascii="宋体" w:hAnsi="宋体" w:eastAsia="宋体" w:cs="宋体"/>
          <w:color w:val="0000FF"/>
          <w:sz w:val="24"/>
          <w:szCs w:val="24"/>
          <w:lang w:val="en-US" w:eastAsia="zh-CN"/>
        </w:rPr>
        <w:t>仍不能供货</w:t>
      </w:r>
      <w:r>
        <w:rPr>
          <w:rFonts w:hint="eastAsia" w:ascii="宋体" w:hAnsi="宋体" w:eastAsia="宋体" w:cs="宋体"/>
          <w:color w:val="auto"/>
          <w:sz w:val="24"/>
          <w:szCs w:val="24"/>
          <w:lang w:val="en-US" w:eastAsia="zh-CN"/>
        </w:rPr>
        <w:t>的；</w:t>
      </w:r>
    </w:p>
    <w:p w14:paraId="22AB0B90">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2.2 乙方</w:t>
      </w:r>
      <w:r>
        <w:rPr>
          <w:rFonts w:hint="eastAsia" w:ascii="宋体" w:hAnsi="宋体" w:eastAsia="宋体" w:cs="宋体"/>
          <w:color w:val="0000FF"/>
          <w:sz w:val="24"/>
          <w:szCs w:val="24"/>
          <w:lang w:val="en-US" w:eastAsia="zh-CN"/>
        </w:rPr>
        <w:t>未能按本合同约定</w:t>
      </w:r>
      <w:r>
        <w:rPr>
          <w:rFonts w:hint="eastAsia" w:ascii="宋体" w:hAnsi="宋体" w:eastAsia="宋体" w:cs="宋体"/>
          <w:color w:val="auto"/>
          <w:sz w:val="24"/>
          <w:szCs w:val="24"/>
          <w:lang w:val="en-US" w:eastAsia="zh-CN"/>
        </w:rPr>
        <w:t xml:space="preserve">通过甲方再次验收的； </w:t>
      </w:r>
    </w:p>
    <w:p w14:paraId="7F8867AB">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FF0000"/>
          <w:sz w:val="24"/>
          <w:szCs w:val="24"/>
          <w:lang w:val="en-US" w:eastAsia="zh-CN"/>
        </w:rPr>
        <w:t>13.2.3 在免费质保期和维保期内，乙方未按本合同约定提供硬件、软件维保服务累计达</w:t>
      </w:r>
      <w:r>
        <w:rPr>
          <w:rFonts w:hint="eastAsia" w:ascii="宋体" w:hAnsi="宋体" w:eastAsia="宋体" w:cs="宋体"/>
          <w:color w:val="FF0000"/>
          <w:sz w:val="24"/>
          <w:szCs w:val="24"/>
          <w:u w:val="single"/>
          <w:lang w:val="en-US" w:eastAsia="zh-CN"/>
        </w:rPr>
        <w:t xml:space="preserve"> </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FF0000"/>
          <w:sz w:val="24"/>
          <w:szCs w:val="24"/>
          <w:u w:val="single"/>
          <w:lang w:val="en-US" w:eastAsia="zh-CN"/>
        </w:rPr>
        <w:t xml:space="preserve"> </w:t>
      </w:r>
      <w:r>
        <w:rPr>
          <w:rFonts w:hint="eastAsia" w:ascii="宋体" w:hAnsi="宋体" w:eastAsia="宋体" w:cs="宋体"/>
          <w:color w:val="FF0000"/>
          <w:sz w:val="24"/>
          <w:szCs w:val="24"/>
          <w:lang w:val="en-US" w:eastAsia="zh-CN"/>
        </w:rPr>
        <w:t xml:space="preserve">次以上时； </w:t>
      </w:r>
      <w:r>
        <w:rPr>
          <w:rFonts w:hint="eastAsia" w:ascii="宋体" w:hAnsi="宋体" w:eastAsia="宋体" w:cs="宋体"/>
          <w:color w:val="auto"/>
          <w:sz w:val="24"/>
          <w:szCs w:val="24"/>
          <w:lang w:val="en-US" w:eastAsia="zh-CN"/>
        </w:rPr>
        <w:t xml:space="preserve">                                                                                                                                                                                                                                                                                                                                                                                                                                                                                                                                                                                                                                                                                                                                                                                                                                                                                                                                                                                                                                                                                                                                                                                                                                                                                                                                                                                                                                                                                                                                                                                                                                                                                                                                                                                                                                                                                                                                                                                                                                                                                                                                                                                                                                                                                                                                                                                                                                                                                                                                                                                           </w:t>
      </w:r>
    </w:p>
    <w:p w14:paraId="3C9A2D7E">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0000FF"/>
          <w:sz w:val="24"/>
          <w:szCs w:val="24"/>
          <w:lang w:val="en-US" w:eastAsia="zh-CN"/>
        </w:rPr>
        <w:t>13.2.4 乙方提供的产品质量不符合国家标准、本合同标准或投标文件/响应文件约定标准；</w:t>
      </w:r>
    </w:p>
    <w:p w14:paraId="1F214AA3">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2.5 乙方转包或分包给第三方的；</w:t>
      </w:r>
    </w:p>
    <w:p w14:paraId="5A678041">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2.6 乙方违反保密条款或侵犯第三人的知识产权及其他合法权利，给甲方造成损失或不良影响的；</w:t>
      </w:r>
    </w:p>
    <w:p w14:paraId="2C7C35FF">
      <w:pPr>
        <w:keepNext w:val="0"/>
        <w:keepLines w:val="0"/>
        <w:pageBreakBefore w:val="0"/>
        <w:widowControl w:val="0"/>
        <w:kinsoku/>
        <w:wordWrap/>
        <w:overflowPunct/>
        <w:topLinePunct w:val="0"/>
        <w:autoSpaceDE/>
        <w:autoSpaceDN/>
        <w:bidi w:val="0"/>
        <w:adjustRightInd/>
        <w:snapToGrid/>
        <w:spacing w:line="480" w:lineRule="exact"/>
        <w:ind w:left="0" w:leftChars="0" w:right="0" w:firstLine="480" w:firstLineChars="200"/>
        <w:textAlignment w:val="auto"/>
      </w:pPr>
      <w:r>
        <w:rPr>
          <w:rFonts w:hint="eastAsia" w:ascii="宋体" w:hAnsi="宋体" w:cs="宋体"/>
          <w:color w:val="auto"/>
          <w:sz w:val="24"/>
          <w:szCs w:val="24"/>
          <w:lang w:val="en-US" w:eastAsia="zh-CN"/>
        </w:rPr>
        <w:t>13.</w:t>
      </w:r>
      <w:r>
        <w:rPr>
          <w:rFonts w:hint="eastAsia" w:ascii="宋体" w:hAnsi="宋体" w:eastAsia="宋体" w:cs="宋体"/>
          <w:color w:val="auto"/>
          <w:sz w:val="24"/>
          <w:szCs w:val="24"/>
          <w:lang w:val="en-US" w:eastAsia="zh-CN"/>
        </w:rPr>
        <w:t>2.7 其他根本违约的情形。</w:t>
      </w:r>
    </w:p>
    <w:p w14:paraId="408D614C">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违约责任</w:t>
      </w:r>
    </w:p>
    <w:p w14:paraId="6AA9CDE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FF"/>
          <w:sz w:val="24"/>
          <w:highlight w:val="none"/>
        </w:rPr>
        <w:t>如乙方未在本合同约定时间内</w:t>
      </w:r>
      <w:r>
        <w:rPr>
          <w:rFonts w:hint="eastAsia" w:ascii="宋体" w:hAnsi="宋体" w:eastAsia="宋体" w:cs="宋体"/>
          <w:color w:val="0000FF"/>
          <w:sz w:val="24"/>
          <w:highlight w:val="none"/>
          <w:lang w:val="en-US" w:eastAsia="zh-CN"/>
        </w:rPr>
        <w:t>通过甲方总体验收或在免维期、质保期内未在本合同约定时间内完成服务的</w:t>
      </w:r>
      <w:r>
        <w:rPr>
          <w:rFonts w:hint="eastAsia" w:ascii="宋体" w:hAnsi="宋体" w:eastAsia="宋体" w:cs="宋体"/>
          <w:color w:val="auto"/>
          <w:sz w:val="24"/>
          <w:szCs w:val="24"/>
          <w:lang w:val="en-US" w:eastAsia="zh-CN"/>
        </w:rPr>
        <w:t>，</w:t>
      </w:r>
      <w:r>
        <w:rPr>
          <w:rFonts w:hint="eastAsia" w:ascii="宋体" w:hAnsi="宋体" w:eastAsia="宋体" w:cs="宋体"/>
          <w:color w:val="000000" w:themeColor="text1"/>
          <w:sz w:val="24"/>
          <w:highlight w:val="none"/>
          <w14:textFill>
            <w14:solidFill>
              <w14:schemeClr w14:val="tx1"/>
            </w14:solidFill>
          </w14:textFill>
        </w:rPr>
        <w:t>除应赔偿甲方因此造成的损失外，</w:t>
      </w:r>
      <w:r>
        <w:rPr>
          <w:rFonts w:hint="eastAsia" w:ascii="宋体" w:hAnsi="宋体" w:eastAsia="宋体" w:cs="宋体"/>
          <w:color w:val="000000" w:themeColor="text1"/>
          <w:sz w:val="24"/>
          <w:highlight w:val="none"/>
          <w:lang w:val="en-US" w:eastAsia="zh-CN"/>
          <w14:textFill>
            <w14:solidFill>
              <w14:schemeClr w14:val="tx1"/>
            </w14:solidFill>
          </w14:textFill>
        </w:rPr>
        <w:t>每逾期一日</w:t>
      </w:r>
      <w:r>
        <w:rPr>
          <w:rFonts w:hint="eastAsia" w:ascii="宋体" w:hAnsi="宋体" w:eastAsia="宋体" w:cs="宋体"/>
          <w:color w:val="auto"/>
          <w:sz w:val="24"/>
          <w:szCs w:val="24"/>
          <w:lang w:val="en-US" w:eastAsia="zh-CN"/>
        </w:rPr>
        <w:t>，</w:t>
      </w:r>
      <w:r>
        <w:rPr>
          <w:rFonts w:hint="eastAsia" w:ascii="宋体" w:hAnsi="宋体" w:eastAsia="宋体" w:cs="宋体"/>
          <w:color w:val="000000" w:themeColor="text1"/>
          <w:sz w:val="24"/>
          <w:highlight w:val="none"/>
          <w14:textFill>
            <w14:solidFill>
              <w14:schemeClr w14:val="tx1"/>
            </w14:solidFill>
          </w14:textFill>
        </w:rPr>
        <w:t>按</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135D2D7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 xml:space="preserve">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13.2情形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103C05B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14.3 无论甲方在任意时候（不限于本合同履行期间）发现存在违反本合同廉洁条款的行为，乙方均须向甲方一次性支付惩罚性违约金</w:t>
      </w:r>
      <w:r>
        <w:rPr>
          <w:rFonts w:hint="eastAsia" w:ascii="宋体" w:hAnsi="宋体" w:eastAsia="宋体" w:cs="宋体"/>
          <w:b/>
          <w:bCs/>
          <w:color w:val="0000FF"/>
          <w:sz w:val="24"/>
          <w:szCs w:val="24"/>
          <w:highlight w:val="none"/>
          <w:u w:val="single"/>
          <w:lang w:val="en-US" w:eastAsia="zh-CN"/>
        </w:rPr>
        <w:t>27000.00</w:t>
      </w: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7206D636">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14.4 依据本合同约定乙方应支付给甲方的违约金，甲方有权在应支付给乙方的任意价款中直接予以扣除，如扣除部分不足，乙方应在接到甲方通知后3日内补足。</w:t>
      </w:r>
    </w:p>
    <w:p w14:paraId="27017ED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十五</w:t>
      </w:r>
      <w:r>
        <w:rPr>
          <w:rFonts w:hint="eastAsia" w:ascii="宋体" w:hAnsi="宋体" w:eastAsia="宋体" w:cs="宋体"/>
          <w:b/>
          <w:bCs/>
          <w:color w:val="000000" w:themeColor="text1"/>
          <w:sz w:val="24"/>
          <w:highlight w:val="none"/>
          <w14:textFill>
            <w14:solidFill>
              <w14:schemeClr w14:val="tx1"/>
            </w14:solidFill>
          </w14:textFill>
        </w:rPr>
        <w:t>条 争议解决</w:t>
      </w:r>
    </w:p>
    <w:p w14:paraId="7E9AD63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15.1 本合同适用中华人民共和国法律，并按其解释。</w:t>
      </w:r>
    </w:p>
    <w:p w14:paraId="39751D96">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15.2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0B8B21B3">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六</w:t>
      </w:r>
      <w:r>
        <w:rPr>
          <w:rFonts w:hint="eastAsia" w:ascii="宋体" w:hAnsi="宋体" w:eastAsia="宋体" w:cs="宋体"/>
          <w:b/>
          <w:bCs/>
          <w:color w:val="000000" w:themeColor="text1"/>
          <w:sz w:val="24"/>
          <w:highlight w:val="none"/>
          <w14:textFill>
            <w14:solidFill>
              <w14:schemeClr w14:val="tx1"/>
            </w14:solidFill>
          </w14:textFill>
        </w:rPr>
        <w:t>条 附则</w:t>
      </w:r>
    </w:p>
    <w:p w14:paraId="5B431D6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6EADC44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16.2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DA0753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6.3</w:t>
      </w:r>
      <w:r>
        <w:rPr>
          <w:rFonts w:hint="eastAsia" w:ascii="宋体" w:hAnsi="宋体" w:eastAsia="宋体" w:cs="宋体"/>
          <w:color w:val="000000" w:themeColor="text1"/>
          <w:sz w:val="24"/>
          <w:highlight w:val="none"/>
          <w14:textFill>
            <w14:solidFill>
              <w14:schemeClr w14:val="tx1"/>
            </w14:solidFill>
          </w14:textFill>
        </w:rPr>
        <w:t xml:space="preserve"> 本合同一式</w:t>
      </w:r>
      <w:r>
        <w:rPr>
          <w:rFonts w:hint="eastAsia" w:ascii="宋体" w:hAnsi="宋体" w:eastAsia="宋体" w:cs="宋体"/>
          <w:color w:val="000000" w:themeColor="text1"/>
          <w:sz w:val="24"/>
          <w:highlight w:val="none"/>
          <w:u w:val="single"/>
          <w14:textFill>
            <w14:solidFill>
              <w14:schemeClr w14:val="tx1"/>
            </w14:solidFill>
          </w14:textFill>
        </w:rPr>
        <w:t>伍</w:t>
      </w:r>
      <w:r>
        <w:rPr>
          <w:rFonts w:hint="eastAsia" w:ascii="宋体" w:hAnsi="宋体" w:eastAsia="宋体" w:cs="宋体"/>
          <w:color w:val="000000" w:themeColor="text1"/>
          <w:sz w:val="24"/>
          <w:highlight w:val="none"/>
          <w14:textFill>
            <w14:solidFill>
              <w14:schemeClr w14:val="tx1"/>
            </w14:solidFill>
          </w14:textFill>
        </w:rPr>
        <w:t>份，甲方执</w:t>
      </w:r>
      <w:r>
        <w:rPr>
          <w:rFonts w:hint="eastAsia" w:ascii="宋体" w:hAnsi="宋体" w:eastAsia="宋体" w:cs="宋体"/>
          <w:color w:val="000000" w:themeColor="text1"/>
          <w:sz w:val="24"/>
          <w:highlight w:val="none"/>
          <w:u w:val="single"/>
          <w14:textFill>
            <w14:solidFill>
              <w14:schemeClr w14:val="tx1"/>
            </w14:solidFill>
          </w14:textFill>
        </w:rPr>
        <w:t>肆</w:t>
      </w:r>
      <w:r>
        <w:rPr>
          <w:rFonts w:hint="eastAsia" w:ascii="宋体" w:hAnsi="宋体" w:eastAsia="宋体" w:cs="宋体"/>
          <w:color w:val="000000" w:themeColor="text1"/>
          <w:sz w:val="24"/>
          <w:highlight w:val="none"/>
          <w14:textFill>
            <w14:solidFill>
              <w14:schemeClr w14:val="tx1"/>
            </w14:solidFill>
          </w14:textFill>
        </w:rPr>
        <w:t>份、乙方执</w:t>
      </w:r>
      <w:r>
        <w:rPr>
          <w:rFonts w:hint="eastAsia" w:ascii="宋体" w:hAnsi="宋体" w:eastAsia="宋体" w:cs="宋体"/>
          <w:color w:val="000000" w:themeColor="text1"/>
          <w:sz w:val="24"/>
          <w:highlight w:val="none"/>
          <w:u w:val="single"/>
          <w14:textFill>
            <w14:solidFill>
              <w14:schemeClr w14:val="tx1"/>
            </w14:solidFill>
          </w14:textFill>
        </w:rPr>
        <w:t>壹</w:t>
      </w:r>
      <w:r>
        <w:rPr>
          <w:rFonts w:hint="eastAsia" w:ascii="宋体" w:hAnsi="宋体" w:eastAsia="宋体" w:cs="宋体"/>
          <w:color w:val="000000" w:themeColor="text1"/>
          <w:sz w:val="24"/>
          <w:highlight w:val="none"/>
          <w14:textFill>
            <w14:solidFill>
              <w14:schemeClr w14:val="tx1"/>
            </w14:solidFill>
          </w14:textFill>
        </w:rPr>
        <w:t>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3B89A85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53182B1">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15A6EE30">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24455245">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49AA3033">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p>
    <w:p w14:paraId="6274E122">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704D9CD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FC661A5">
      <w:pPr>
        <w:keepNext w:val="0"/>
        <w:keepLines w:val="0"/>
        <w:pageBreakBefore w:val="0"/>
        <w:kinsoku/>
        <w:wordWrap/>
        <w:overflowPunct/>
        <w:topLinePunct w:val="0"/>
        <w:autoSpaceDE/>
        <w:autoSpaceDN/>
        <w:bidi w:val="0"/>
        <w:adjustRightInd/>
        <w:snapToGrid/>
        <w:spacing w:line="440" w:lineRule="exact"/>
        <w:textAlignment w:val="auto"/>
        <w:rPr>
          <w:rFonts w:hint="default" w:ascii="宋体" w:hAnsi="宋体" w:eastAsia="宋体" w:cs="宋体"/>
          <w:color w:val="auto"/>
          <w:sz w:val="24"/>
          <w:szCs w:val="24"/>
          <w:lang w:val="en-US" w:eastAsia="zh-CN"/>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6E1EB1A4">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14:paraId="2B650945">
      <w:pPr>
        <w:rPr>
          <w:rFonts w:hint="default" w:ascii="宋体" w:hAnsi="宋体" w:eastAsia="宋体" w:cs="宋体"/>
          <w:color w:val="auto"/>
          <w:sz w:val="24"/>
          <w:szCs w:val="24"/>
          <w:lang w:val="en-US" w:eastAsia="zh-CN"/>
        </w:rPr>
      </w:pPr>
    </w:p>
    <w:p w14:paraId="2E838F41">
      <w:pPr>
        <w:pStyle w:val="3"/>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0"/>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19"/>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19"/>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0"/>
        <w:rPr>
          <w:color w:val="auto"/>
        </w:rPr>
      </w:pPr>
    </w:p>
    <w:p w14:paraId="5EEA99A1">
      <w:pPr>
        <w:pStyle w:val="19"/>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3766C9C"/>
    <w:rsid w:val="03E43FAE"/>
    <w:rsid w:val="04653F41"/>
    <w:rsid w:val="04B72FC8"/>
    <w:rsid w:val="04F57A38"/>
    <w:rsid w:val="050719CA"/>
    <w:rsid w:val="06934BAA"/>
    <w:rsid w:val="06E91EC4"/>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35E7486"/>
    <w:rsid w:val="14E40477"/>
    <w:rsid w:val="15060AC8"/>
    <w:rsid w:val="15125EAE"/>
    <w:rsid w:val="15675A4C"/>
    <w:rsid w:val="15B67DFF"/>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92275B"/>
    <w:rsid w:val="23F374DB"/>
    <w:rsid w:val="24881A32"/>
    <w:rsid w:val="25266F96"/>
    <w:rsid w:val="267547DF"/>
    <w:rsid w:val="272B6E6C"/>
    <w:rsid w:val="27CF2BB7"/>
    <w:rsid w:val="2821285F"/>
    <w:rsid w:val="28501465"/>
    <w:rsid w:val="28E81B29"/>
    <w:rsid w:val="28FD390A"/>
    <w:rsid w:val="29B45A41"/>
    <w:rsid w:val="2A174DA9"/>
    <w:rsid w:val="2AB010A8"/>
    <w:rsid w:val="2AC66F99"/>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5629F5"/>
    <w:rsid w:val="4284152B"/>
    <w:rsid w:val="429A4992"/>
    <w:rsid w:val="435B161D"/>
    <w:rsid w:val="43B25DAC"/>
    <w:rsid w:val="44771DFD"/>
    <w:rsid w:val="45D569C3"/>
    <w:rsid w:val="479B74B7"/>
    <w:rsid w:val="48735221"/>
    <w:rsid w:val="49E92B05"/>
    <w:rsid w:val="4A354E62"/>
    <w:rsid w:val="4A631329"/>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CB6071"/>
    <w:rsid w:val="55D8243C"/>
    <w:rsid w:val="56483C8F"/>
    <w:rsid w:val="57EF041D"/>
    <w:rsid w:val="581A7C72"/>
    <w:rsid w:val="583A4BD7"/>
    <w:rsid w:val="58CD07BD"/>
    <w:rsid w:val="59C74B1F"/>
    <w:rsid w:val="5A886F59"/>
    <w:rsid w:val="5C386F7F"/>
    <w:rsid w:val="604D5946"/>
    <w:rsid w:val="611B6B1B"/>
    <w:rsid w:val="62030FF0"/>
    <w:rsid w:val="62C222C2"/>
    <w:rsid w:val="632D7C40"/>
    <w:rsid w:val="64133D6A"/>
    <w:rsid w:val="64245572"/>
    <w:rsid w:val="64F219E2"/>
    <w:rsid w:val="66C30AF5"/>
    <w:rsid w:val="678E4F5D"/>
    <w:rsid w:val="67F3562A"/>
    <w:rsid w:val="680E122C"/>
    <w:rsid w:val="69D6055A"/>
    <w:rsid w:val="6A4E1D63"/>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3A18A8"/>
    <w:rsid w:val="76920D75"/>
    <w:rsid w:val="76C47877"/>
    <w:rsid w:val="77423DFF"/>
    <w:rsid w:val="783B5EA9"/>
    <w:rsid w:val="79EB699D"/>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8">
    <w:name w:val="大标题"/>
    <w:basedOn w:val="1"/>
    <w:next w:val="13"/>
    <w:qFormat/>
    <w:uiPriority w:val="0"/>
    <w:pPr>
      <w:jc w:val="center"/>
    </w:pPr>
    <w:rPr>
      <w:rFonts w:ascii="Arial" w:hAnsi="Arial" w:eastAsia="宋体"/>
      <w:b/>
      <w:sz w:val="28"/>
      <w:szCs w:val="24"/>
    </w:rPr>
  </w:style>
  <w:style w:type="paragraph" w:customStyle="1" w:styleId="19">
    <w:name w:val="列出段落1"/>
    <w:basedOn w:val="1"/>
    <w:qFormat/>
    <w:uiPriority w:val="99"/>
    <w:pPr>
      <w:ind w:firstLine="420" w:firstLineChars="200"/>
    </w:p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7642</Words>
  <Characters>7993</Characters>
  <Lines>0</Lines>
  <Paragraphs>0</Paragraphs>
  <TotalTime>0</TotalTime>
  <ScaleCrop>false</ScaleCrop>
  <LinksUpToDate>false</LinksUpToDate>
  <CharactersWithSpaces>8194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德普</cp:lastModifiedBy>
  <dcterms:modified xsi:type="dcterms:W3CDTF">2026-03-16T07:15:29Z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D5BBEF20D4724227A20DC9D22DADBD6E_13</vt:lpwstr>
  </property>
  <property fmtid="{D5CDD505-2E9C-101B-9397-08002B2CF9AE}" pid="4" name="KSOTemplateDocerSaveRecord">
    <vt:lpwstr>eyJoZGlkIjoiOWU3YmMxNGQ0NDE0NTRiYjQ3MWFkZjk1MWM2MTc2NWEiLCJ1c2VySWQiOiI0NDIzNjcyODQifQ==</vt:lpwstr>
  </property>
</Properties>
</file>