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ED3ED">
      <w:pPr>
        <w:pStyle w:val="15"/>
        <w:snapToGrid w:val="0"/>
        <w:jc w:val="center"/>
        <w:rPr>
          <w:rFonts w:hint="eastAsia" w:ascii="Arial" w:hAnsi="Arial" w:eastAsia="方正小标宋简体" w:cs="Arial"/>
          <w:sz w:val="72"/>
          <w:szCs w:val="72"/>
        </w:rPr>
      </w:pPr>
      <w:bookmarkStart w:id="0" w:name="_Toc16523570"/>
    </w:p>
    <w:p w14:paraId="6165DD46">
      <w:pPr>
        <w:pStyle w:val="15"/>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240C7846">
      <w:pPr>
        <w:pStyle w:val="15"/>
        <w:snapToGrid w:val="0"/>
        <w:jc w:val="center"/>
        <w:rPr>
          <w:rFonts w:hint="eastAsia" w:ascii="Arial" w:hAnsi="Arial" w:eastAsia="方正小标宋简体" w:cs="Arial"/>
          <w:sz w:val="72"/>
          <w:szCs w:val="72"/>
        </w:rPr>
      </w:pPr>
    </w:p>
    <w:p w14:paraId="635FE321">
      <w:pPr>
        <w:pStyle w:val="15"/>
        <w:snapToGrid w:val="0"/>
        <w:jc w:val="center"/>
        <w:rPr>
          <w:rFonts w:hint="eastAsia" w:ascii="Arial" w:hAnsi="Arial" w:eastAsia="方正小标宋简体" w:cs="Arial"/>
          <w:sz w:val="72"/>
          <w:szCs w:val="72"/>
        </w:rPr>
      </w:pPr>
    </w:p>
    <w:p w14:paraId="69D3AD3F">
      <w:pPr>
        <w:pStyle w:val="15"/>
        <w:snapToGrid w:val="0"/>
        <w:jc w:val="center"/>
        <w:rPr>
          <w:rFonts w:hint="eastAsia" w:ascii="Arial" w:hAnsi="Arial" w:eastAsia="方正小标宋简体" w:cs="Arial"/>
          <w:sz w:val="72"/>
          <w:szCs w:val="72"/>
        </w:rPr>
      </w:pPr>
    </w:p>
    <w:p w14:paraId="6760F3CC">
      <w:pPr>
        <w:pStyle w:val="15"/>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136B4FFC">
      <w:pPr>
        <w:pStyle w:val="15"/>
        <w:snapToGrid w:val="0"/>
        <w:jc w:val="center"/>
        <w:rPr>
          <w:rFonts w:ascii="Arial" w:hAnsi="Arial" w:cs="Arial"/>
          <w:sz w:val="32"/>
          <w:szCs w:val="32"/>
        </w:rPr>
      </w:pPr>
    </w:p>
    <w:p w14:paraId="344FBE05">
      <w:pPr>
        <w:pStyle w:val="16"/>
        <w:rPr>
          <w:rFonts w:ascii="Arial" w:hAnsi="Arial" w:cs="Arial"/>
          <w:sz w:val="32"/>
          <w:szCs w:val="32"/>
        </w:rPr>
      </w:pPr>
    </w:p>
    <w:p w14:paraId="3072D5FC">
      <w:pPr>
        <w:pStyle w:val="9"/>
        <w:rPr>
          <w:rFonts w:ascii="Arial" w:hAnsi="Arial" w:cs="Arial"/>
          <w:sz w:val="32"/>
          <w:szCs w:val="32"/>
        </w:rPr>
      </w:pPr>
    </w:p>
    <w:p w14:paraId="1CD32D3E">
      <w:pPr>
        <w:pStyle w:val="9"/>
        <w:rPr>
          <w:rFonts w:ascii="Arial" w:hAnsi="Arial" w:cs="Arial"/>
          <w:sz w:val="32"/>
          <w:szCs w:val="32"/>
        </w:rPr>
      </w:pPr>
    </w:p>
    <w:p w14:paraId="191865C5">
      <w:pPr>
        <w:pStyle w:val="9"/>
        <w:rPr>
          <w:rFonts w:ascii="Arial" w:hAnsi="Arial" w:cs="Arial"/>
          <w:sz w:val="32"/>
          <w:szCs w:val="32"/>
        </w:rPr>
      </w:pPr>
    </w:p>
    <w:p w14:paraId="00BD03D4">
      <w:pPr>
        <w:pStyle w:val="9"/>
        <w:rPr>
          <w:rFonts w:ascii="Arial" w:hAnsi="Arial" w:cs="Arial"/>
          <w:sz w:val="32"/>
          <w:szCs w:val="32"/>
        </w:rPr>
      </w:pPr>
    </w:p>
    <w:p w14:paraId="5B1AF6E9">
      <w:pPr>
        <w:pStyle w:val="9"/>
        <w:rPr>
          <w:rFonts w:ascii="Arial" w:hAnsi="Arial" w:cs="Arial"/>
          <w:sz w:val="32"/>
          <w:szCs w:val="32"/>
        </w:rPr>
      </w:pPr>
    </w:p>
    <w:p w14:paraId="5EDC9EA3">
      <w:pPr>
        <w:pStyle w:val="9"/>
        <w:rPr>
          <w:rFonts w:ascii="Arial" w:hAnsi="Arial" w:cs="Arial"/>
          <w:sz w:val="32"/>
          <w:szCs w:val="32"/>
        </w:rPr>
      </w:pPr>
    </w:p>
    <w:p w14:paraId="163589A0">
      <w:pPr>
        <w:pStyle w:val="9"/>
        <w:rPr>
          <w:rFonts w:ascii="Arial" w:hAnsi="Arial" w:cs="Arial"/>
          <w:sz w:val="32"/>
          <w:szCs w:val="32"/>
        </w:rPr>
      </w:pPr>
      <w:bookmarkStart w:id="5" w:name="_GoBack"/>
    </w:p>
    <w:bookmarkEnd w:id="5"/>
    <w:p w14:paraId="22B3FB66">
      <w:pPr>
        <w:pStyle w:val="15"/>
        <w:snapToGrid w:val="0"/>
        <w:jc w:val="center"/>
        <w:rPr>
          <w:rFonts w:ascii="Arial" w:hAnsi="Arial" w:cs="Arial"/>
          <w:sz w:val="32"/>
          <w:szCs w:val="32"/>
        </w:rPr>
      </w:pPr>
    </w:p>
    <w:p w14:paraId="66BAB724">
      <w:pPr>
        <w:pStyle w:val="15"/>
        <w:snapToGrid w:val="0"/>
        <w:jc w:val="center"/>
        <w:rPr>
          <w:rFonts w:ascii="Arial" w:hAnsi="Arial" w:cs="Arial"/>
          <w:sz w:val="32"/>
          <w:szCs w:val="32"/>
        </w:rPr>
      </w:pPr>
    </w:p>
    <w:p w14:paraId="5BE24A3F">
      <w:pPr>
        <w:spacing w:line="360" w:lineRule="auto"/>
        <w:rPr>
          <w:rFonts w:hint="eastAsia"/>
          <w:bCs/>
          <w:sz w:val="32"/>
          <w:szCs w:val="32"/>
        </w:rPr>
      </w:pPr>
    </w:p>
    <w:p w14:paraId="677D4F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w:t>
      </w:r>
      <w:r>
        <w:rPr>
          <w:rFonts w:hint="eastAsia" w:cs="Times New Roman"/>
          <w:b/>
          <w:bCs/>
          <w:kern w:val="44"/>
          <w:sz w:val="32"/>
          <w:szCs w:val="32"/>
          <w:lang w:val="en-US" w:eastAsia="zh-CN" w:bidi="ar-SA"/>
        </w:rPr>
        <w:t>医学数字资源平台</w:t>
      </w:r>
      <w:r>
        <w:rPr>
          <w:rFonts w:hint="eastAsia"/>
          <w:bCs/>
          <w:sz w:val="32"/>
          <w:szCs w:val="32"/>
          <w:lang w:val="en-US" w:eastAsia="zh-CN"/>
        </w:rPr>
        <w:t>采购项目</w:t>
      </w:r>
    </w:p>
    <w:p w14:paraId="018BCF4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5FDDD31C">
      <w:pPr>
        <w:spacing w:line="320" w:lineRule="exact"/>
        <w:jc w:val="left"/>
        <w:rPr>
          <w:sz w:val="24"/>
        </w:rPr>
      </w:pPr>
    </w:p>
    <w:p w14:paraId="1995CCAC">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7F0F5473">
      <w:pPr>
        <w:pStyle w:val="2"/>
        <w:numPr>
          <w:ilvl w:val="0"/>
          <w:numId w:val="0"/>
        </w:numPr>
        <w:spacing w:line="240" w:lineRule="auto"/>
        <w:ind w:leftChars="0"/>
        <w:jc w:val="center"/>
        <w:rPr>
          <w:rFonts w:hint="eastAsia" w:ascii="宋体" w:hAnsi="宋体" w:cs="宋体"/>
          <w:color w:val="auto"/>
          <w:sz w:val="44"/>
          <w:szCs w:val="44"/>
          <w:lang w:val="en-US" w:eastAsia="zh-CN"/>
        </w:rPr>
      </w:pPr>
    </w:p>
    <w:p w14:paraId="535BB9EC">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2CCB5FF4">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医学数字资源平台</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1BEBAEE9">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62DF0C6F">
      <w:pPr>
        <w:pStyle w:val="1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医学数字资源平台</w:t>
      </w:r>
      <w:r>
        <w:rPr>
          <w:rFonts w:hint="eastAsia" w:asciiTheme="minorEastAsia" w:hAnsiTheme="minorEastAsia" w:eastAsiaTheme="minorEastAsia" w:cstheme="minorEastAsia"/>
          <w:b w:val="0"/>
          <w:bCs/>
          <w:color w:val="auto"/>
          <w:sz w:val="24"/>
          <w:szCs w:val="24"/>
          <w:lang w:val="en-US" w:eastAsia="zh-CN"/>
        </w:rPr>
        <w:t>项目</w:t>
      </w:r>
    </w:p>
    <w:p w14:paraId="6B936CE3">
      <w:pPr>
        <w:pStyle w:val="1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126EAE81">
      <w:pPr>
        <w:pStyle w:val="15"/>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医院公开挂网</w:t>
      </w:r>
      <w:r>
        <w:rPr>
          <w:rFonts w:hint="eastAsia" w:asciiTheme="minorEastAsia" w:hAnsiTheme="minorEastAsia" w:eastAsiaTheme="minorEastAsia" w:cstheme="minorEastAsia"/>
          <w:bCs/>
          <w:color w:val="auto"/>
          <w:sz w:val="24"/>
          <w:szCs w:val="24"/>
          <w:lang w:val="en-US" w:eastAsia="zh-CN"/>
        </w:rPr>
        <w:t>，</w:t>
      </w:r>
      <w:bookmarkEnd w:id="0"/>
      <w:r>
        <w:rPr>
          <w:rFonts w:hint="eastAsia" w:asciiTheme="minorEastAsia" w:hAnsiTheme="minorEastAsia" w:eastAsiaTheme="minorEastAsia" w:cstheme="minorEastAsia"/>
          <w:bCs/>
          <w:color w:val="auto"/>
          <w:sz w:val="24"/>
          <w:szCs w:val="24"/>
          <w:lang w:val="en-US" w:eastAsia="zh-CN"/>
        </w:rPr>
        <w:t>按招标文件评分规则进行评审，以评审结果排序，综合评分得分相同的，按投标报价由低到高顺序排列，得分且投标报价相同的，按技术指标优劣顺序排列。</w:t>
      </w:r>
    </w:p>
    <w:p w14:paraId="444B7D8D">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253091B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724C358">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3AD029D5">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6C83B5C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2CC2ACE0">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7BE4C39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E85C3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1E7FBF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51F1ED6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45DDDEA8">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AAC438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784645C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1CA443C1">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4EBF1671">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0C11F4A7">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65DB1185">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57EBE3A6">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3D174B2F">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1F35927C">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D55C5BD">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32976E44">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34CEDBE2">
      <w:pPr>
        <w:pStyle w:val="1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1.7、技术参数负偏离大于5条的。</w:t>
      </w:r>
    </w:p>
    <w:p w14:paraId="02D4F01A">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BBE2240">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2EACB202">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12F0A2BC">
      <w:pPr>
        <w:pStyle w:val="16"/>
        <w:rPr>
          <w:rFonts w:hint="eastAsia"/>
          <w:lang w:val="en-US" w:eastAsia="zh-CN"/>
        </w:rPr>
      </w:pPr>
    </w:p>
    <w:p w14:paraId="580E4949">
      <w:pPr>
        <w:pStyle w:val="16"/>
        <w:jc w:val="both"/>
        <w:rPr>
          <w:rFonts w:hint="default"/>
          <w:lang w:val="en-US" w:eastAsia="zh-CN"/>
        </w:rPr>
      </w:pPr>
    </w:p>
    <w:p w14:paraId="3F0337F1">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2CC6FF2">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EFEA6B2">
      <w:pPr>
        <w:pStyle w:val="16"/>
        <w:rPr>
          <w:rFonts w:hint="eastAsia" w:ascii="宋体" w:hAnsi="宋体" w:cs="宋体"/>
          <w:b/>
          <w:bCs/>
          <w:color w:val="auto"/>
          <w:sz w:val="44"/>
          <w:szCs w:val="44"/>
          <w:lang w:val="en-US" w:eastAsia="zh-CN"/>
        </w:rPr>
      </w:pPr>
    </w:p>
    <w:p w14:paraId="0FCE0BE5">
      <w:pPr>
        <w:pStyle w:val="9"/>
        <w:rPr>
          <w:rFonts w:hint="eastAsia" w:ascii="宋体" w:hAnsi="宋体" w:cs="宋体"/>
          <w:b/>
          <w:bCs/>
          <w:color w:val="auto"/>
          <w:sz w:val="44"/>
          <w:szCs w:val="44"/>
          <w:lang w:val="en-US" w:eastAsia="zh-CN"/>
        </w:rPr>
      </w:pPr>
    </w:p>
    <w:p w14:paraId="44605275">
      <w:pPr>
        <w:rPr>
          <w:rFonts w:hint="eastAsia" w:ascii="宋体" w:hAnsi="宋体" w:cs="宋体"/>
          <w:b/>
          <w:bCs/>
          <w:color w:val="auto"/>
          <w:sz w:val="44"/>
          <w:szCs w:val="44"/>
          <w:lang w:val="en-US" w:eastAsia="zh-CN"/>
        </w:rPr>
      </w:pPr>
    </w:p>
    <w:p w14:paraId="2E1D6141">
      <w:pPr>
        <w:pStyle w:val="14"/>
        <w:rPr>
          <w:rFonts w:hint="eastAsia"/>
          <w:lang w:val="en-US" w:eastAsia="zh-CN"/>
        </w:rPr>
      </w:pPr>
    </w:p>
    <w:p w14:paraId="0E1CA901">
      <w:pPr>
        <w:rPr>
          <w:rFonts w:hint="eastAsia"/>
          <w:lang w:val="en-US" w:eastAsia="zh-CN"/>
        </w:rPr>
      </w:pPr>
      <w:r>
        <w:rPr>
          <w:rFonts w:hint="eastAsia"/>
          <w:lang w:val="en-US" w:eastAsia="zh-CN"/>
        </w:rPr>
        <w:br w:type="page"/>
      </w:r>
    </w:p>
    <w:p w14:paraId="43F3F7C4">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46A15746">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2C2AFACE">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C704D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A8E5AC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7E26F2E">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eastAsia="zh-CN"/>
              </w:rPr>
              <w:t>配件</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BC8F8A3">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服务期限</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F4744D9">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2690AC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EA603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605656B6">
            <w:pPr>
              <w:keepNext w:val="0"/>
              <w:keepLines w:val="0"/>
              <w:widowControl/>
              <w:suppressLineNumbers w:val="0"/>
              <w:jc w:val="center"/>
              <w:textAlignment w:val="center"/>
              <w:rPr>
                <w:rFonts w:hint="default" w:asciiTheme="minorEastAsia" w:hAnsiTheme="minorEastAsia" w:eastAsiaTheme="minorEastAsia" w:cstheme="minorEastAsia"/>
                <w:kern w:val="2"/>
                <w:sz w:val="24"/>
                <w:szCs w:val="24"/>
                <w:lang w:val="en-US" w:eastAsia="zh-CN" w:bidi="ar-SA"/>
              </w:rPr>
            </w:pPr>
            <w:r>
              <w:rPr>
                <w:rFonts w:hint="eastAsia" w:ascii="宋体" w:hAnsi="宋体" w:cs="宋体"/>
                <w:i w:val="0"/>
                <w:iCs w:val="0"/>
                <w:color w:val="000000"/>
                <w:kern w:val="0"/>
                <w:sz w:val="24"/>
                <w:szCs w:val="24"/>
                <w:u w:val="none"/>
                <w:lang w:val="en-US" w:eastAsia="zh-CN" w:bidi="ar"/>
              </w:rPr>
              <w:t>医学数字资源平台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D81A0B0">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三年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5359A47">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36</w:t>
            </w:r>
          </w:p>
        </w:tc>
      </w:tr>
    </w:tbl>
    <w:p w14:paraId="5E36B49A">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5D901636">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57D43378">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579476C9">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14:paraId="03AA34CB">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（一）、平台功能要求：</w:t>
      </w:r>
    </w:p>
    <w:p w14:paraId="52D7077E">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1、提供全球文献知识检索服务，实现对期刊、学位论文、会议论文、专利、成果、政策法规、报纸等中外文文献资源一框式检索发现和下载。</w:t>
      </w:r>
    </w:p>
    <w:p w14:paraId="609D8688">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2、不限制用户数进行检索、查询、阅读、下载，支持全院职工每人一个独立账号，可通过手机号码短信验证登录。</w:t>
      </w:r>
    </w:p>
    <w:p w14:paraId="7595FD4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3、手机端可以通过微信小程序使用。</w:t>
      </w:r>
    </w:p>
    <w:p w14:paraId="14F48352">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支持切换不同的文献类型选择相应的检索入口，不限于期刊、学位论文、会议论文、专利、标准、报纸。提供高级检索与二次检索，高级检索可以根据元数据字段进行组合检索，包括标题、关键词、作者、isbn、issn、出版物名称、出版社、分类号、摘要、基金等。文献发现可支持任意字段的精确匹配、模糊匹配等方式检索。</w:t>
      </w:r>
    </w:p>
    <w:p w14:paraId="2925ADE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5、期刊列表或封面可针对SCI、EI、SSCI、CSCD、北大核心、CSSCI进行分类查询或显示。</w:t>
      </w:r>
    </w:p>
    <w:p w14:paraId="1023B3A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自动记录用户检索历史，支持对检索历史进行查看、重新检索和管理；检索结果页面展示发文分析图谱，揭示当前检索主题相关领域发文研究趋势。检索结果提供分面聚类的筛选，包括文献类型、出版年份、主题词、作者、学科分类、语言；支持将结果按查新、参考文献、endnote、noteexpress等格式导出。</w:t>
      </w:r>
    </w:p>
    <w:p w14:paraId="2A49CBC3">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后台提供管理首页；包括对前台检索次数、浏览次数、下载次数、文献传递次数、个人注册人数、个人登录次数的统计；可对个人用户进行锁定、编辑和删除。提供使用统计模块，对每月使用能统计访问量，点击量，下载量。</w:t>
      </w:r>
    </w:p>
    <w:p w14:paraId="3AE7540D">
      <w:pPr>
        <w:spacing w:line="360" w:lineRule="auto"/>
        <w:ind w:firstLine="480" w:firstLineChars="200"/>
        <w:rPr>
          <w:rFonts w:hint="eastAsia" w:asciiTheme="minorEastAsia" w:hAnsiTheme="minorEastAsia" w:eastAsiaTheme="minorEastAsia" w:cstheme="minorEastAsia"/>
          <w:b w:val="0"/>
          <w:bCs/>
          <w:color w:val="FF0000"/>
          <w:kern w:val="0"/>
          <w:sz w:val="24"/>
          <w:szCs w:val="24"/>
          <w:lang w:val="en-US" w:eastAsia="zh-CN" w:bidi="ar-SA"/>
        </w:rPr>
      </w:pPr>
      <w:r>
        <w:rPr>
          <w:rFonts w:hint="eastAsia" w:asciiTheme="minorEastAsia" w:hAnsiTheme="minorEastAsia" w:eastAsiaTheme="minorEastAsia" w:cstheme="minorEastAsia"/>
          <w:b w:val="0"/>
          <w:bCs/>
          <w:color w:val="FF0000"/>
          <w:kern w:val="0"/>
          <w:sz w:val="24"/>
          <w:szCs w:val="24"/>
          <w:lang w:val="en-US" w:eastAsia="zh-CN" w:bidi="ar-SA"/>
        </w:rPr>
        <w:t>8、根据医院图书馆相关情况建设图书馆网站链接，网站模块包含且不仅限于图书馆概况、通知公告、医学文献推荐、文献编译、服务指南、活动推广等，后期需配合单位进行数据等更新和维护，网站服务器地址、源代码及相关数据资产归乙方所有，网站的日常技术运行、安全保障均由乙方负责。</w:t>
      </w:r>
    </w:p>
    <w:p w14:paraId="2FAFD54E">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9、支持基于AIGC大模型及海量资源实现全库知识问答功能。全库知识问答支持对不同领域内容设置prompt模板不低于100种，需包含论文写作、论文润色、期刊推荐、论文续写、工作总结等，用户可以自主选择模板进行全库问答。</w:t>
      </w:r>
    </w:p>
    <w:p w14:paraId="5273FBAF">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10、▲支持用户在线主题检索期刊文献进行单篇文献的自动问答功能。识别文档中的段落和语句，支持实现复制、翻译、截取提问以及生成文档摘要和章节速览等功能，也可以针对文档内容进行自由提问。支持上传本地PDF文档进行同样功能。</w:t>
      </w:r>
    </w:p>
    <w:p w14:paraId="1687AB2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（二）、资源要求：</w:t>
      </w:r>
    </w:p>
    <w:p w14:paraId="09831A0C">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提供全学科中文文献资源，期刊总数不少于10000种，可下载期刊不少于10000种。需包含医学相关中文期刊不少于1600种，内容涵盖基础医学、临床医学、公共卫生与预防医学、中医学、药学、口腔医学、生物科学等，其他学科资源需包含党建政史类、管理类、财务类、计算机类、教育类等。</w:t>
      </w:r>
    </w:p>
    <w:p w14:paraId="586BCED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2、中文期刊收录时间范围：从1970年至今，部分收录回溯至创刊，需在期刊收录汇总中体现。</w:t>
      </w:r>
    </w:p>
    <w:p w14:paraId="76ADED5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3、▲中文期刊提供职称材料打包下载功能。</w:t>
      </w:r>
    </w:p>
    <w:p w14:paraId="77DAE0DC">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4、★提供全学科外文文献资源，期刊不少于50000种，其中医学相关外文期刊不少于15000种，可获取全文。</w:t>
      </w:r>
    </w:p>
    <w:p w14:paraId="2E0EF3EE">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5、外文期刊需显示文章具体来源，标记是否为SCI收录。</w:t>
      </w:r>
    </w:p>
    <w:p w14:paraId="60D7EAFB">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6、针对检索结果列表页中为外文题录元数据提供实时翻译功能。</w:t>
      </w:r>
    </w:p>
    <w:p w14:paraId="2B4F6E3D">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7、博硕论文数据库需涵盖中英文的医学相关论文，收录总量要求100万篇以上，可获取全文。</w:t>
      </w:r>
    </w:p>
    <w:p w14:paraId="1878DCF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8、会议论文库收录200万余篇以上中英文医学相关会议文献，可获取全文。</w:t>
      </w:r>
    </w:p>
    <w:p w14:paraId="55AE76CD">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9、政策法规200万条以上，可获取全文。</w:t>
      </w:r>
    </w:p>
    <w:p w14:paraId="778CF901">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10、专利100万项以上，可获取全文。</w:t>
      </w:r>
    </w:p>
    <w:p w14:paraId="151AE7A7">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11、成果50万项以上，可获取全文。</w:t>
      </w:r>
    </w:p>
    <w:p w14:paraId="77203E06">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12、报纸库支持根据标题、主题词、机构及出版社进行检索。</w:t>
      </w:r>
    </w:p>
    <w:p w14:paraId="38444133">
      <w:pPr>
        <w:spacing w:line="360" w:lineRule="auto"/>
        <w:ind w:firstLine="480" w:firstLineChars="200"/>
        <w:rPr>
          <w:rFonts w:hint="eastAsia" w:asciiTheme="minorEastAsia" w:hAnsiTheme="minorEastAsia" w:eastAsiaTheme="minorEastAsia" w:cstheme="minorEastAsia"/>
          <w:b w:val="0"/>
          <w:bCs/>
          <w:color w:val="FF0000"/>
          <w:kern w:val="0"/>
          <w:sz w:val="24"/>
          <w:szCs w:val="24"/>
          <w:lang w:val="en-US" w:eastAsia="zh-CN" w:bidi="ar-SA"/>
        </w:rPr>
      </w:pPr>
      <w:r>
        <w:rPr>
          <w:rFonts w:hint="eastAsia" w:asciiTheme="minorEastAsia" w:hAnsiTheme="minorEastAsia" w:eastAsiaTheme="minorEastAsia" w:cstheme="minorEastAsia"/>
          <w:b w:val="0"/>
          <w:bCs/>
          <w:color w:val="FF0000"/>
          <w:kern w:val="0"/>
          <w:sz w:val="24"/>
          <w:szCs w:val="24"/>
          <w:lang w:val="en-US" w:eastAsia="zh-CN" w:bidi="ar-SA"/>
        </w:rPr>
        <w:t>13、提供中文查重300篇。</w:t>
      </w:r>
    </w:p>
    <w:p w14:paraId="607FF7DC">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（三）、科研工具要求：</w:t>
      </w:r>
    </w:p>
    <w:p w14:paraId="0E4DB3F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1、SCI工具模块：</w:t>
      </w:r>
    </w:p>
    <w:p w14:paraId="1FF0D97E">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（1）AIGC环境下的生物医学大模型：内置语料库需要超过5亿条，可实现输入一句话，自动化扩写、逻辑补全、真实参考文献引用和插入。可选择影响因子更高或发表时间更新的参考文献，可设置参考文献数量。</w:t>
      </w:r>
    </w:p>
    <w:p w14:paraId="35A5A2C7">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AI助手：需实时收录全网Online英文文献，基于BERT自然语言模型，输入中文的关键词或短语，即可自动匹配出语义最相近的英文表述方式。可进行一键同义改写；可对语料的期刊影响因子和发表时间进行筛选，如选择CNS期刊语料等。支持非生命科学领域的用户可"自建语料库"。</w:t>
      </w:r>
    </w:p>
    <w:p w14:paraId="19E6CACC">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场景写作工具：学术论文有格式化的特点，需收录常见写作中会遇到的场景及对应表述方式。支持写摘要、写背景、写方法、写结果、写讨论、写结论、写致谢、定义术语、回顾文献、描述过去、谨慎评论、批判观点、列举例子、罗列分类、比较对比、主题过渡、基于共识、描述趋势、描述数量、描述因果、全局搜索等。</w:t>
      </w:r>
    </w:p>
    <w:p w14:paraId="6BB6DD50">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（4）参考文献速查：写论文或标书时，输入你的论点，即可获得潜在支持该论点的文献内容，可一键导出对应的参考文献到Endnote打开，插入文中。</w:t>
      </w:r>
    </w:p>
    <w:p w14:paraId="35E6DBB0">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2、课题/国自然模块</w:t>
      </w:r>
    </w:p>
    <w:p w14:paraId="2BC3FFA6">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（1）国自然数据分析：需收录近超30年（1989-2024）国家自然科学基金立项标书关键信息，结合多重整合分析，数据图形化展示，通过分析国自然历年数据可以帮助把握研究热点。</w:t>
      </w:r>
    </w:p>
    <w:p w14:paraId="2697A140">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课题思路助手：基础科研的课题设计有三要素：基因、信号通路、表型/功能。某个基因通过某信号通路产生某个表型。输入关键词，可从海量文献中检索与之相关的gene、pathway，按年度分析可尽览其“研究演变”。</w:t>
      </w:r>
    </w:p>
    <w:p w14:paraId="2A5774D9">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实验方案设计助手：在课题设计时，可以针对输入的课题标题，从组织样本、体内实验、体外实验、机制研究层面，协助制定研究内容和步骤、实验技术、思维导图。标题越详细越好，可以参照既往已中标国自然标题。</w:t>
      </w:r>
    </w:p>
    <w:p w14:paraId="3B8D4BD9">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细胞系/动物模型查询助手：要研究某一个疾病，就离不开使用对应的细胞系和动物模型，分别代表体外和体内实验来论证课题结论。但细胞系种类繁多，动物模型也经常涉及复杂的种系差异和基因敲除。输入某个疾病或研究内容，自动罗列文献中对应的、已有报道的细胞系和动物模型，同时给于解释说明，帮助快速理解。</w:t>
      </w:r>
    </w:p>
    <w:p w14:paraId="4143B4FA">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（4）实验方案设计助手：在课题设计时，可以针对输入的课题标题，从组织样本、体内实验、体外实验、机制研究层面，协助制定研究内容和步骤、实验技术、思维导图。</w:t>
      </w:r>
    </w:p>
    <w:p w14:paraId="1E0F2176">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科研绘图模块：平台提供素材需要超过1万个，可对素材进行拖移、拆分、编辑、实现个性化绘制和组图，导出符合学术发表要求的高清、高质量图片。所有素材均由需具有知识产权，正规流程导出后自动授权，无侵权/撤稿风险。</w:t>
      </w:r>
    </w:p>
    <w:p w14:paraId="761DBCF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6B62FA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284C1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14:paraId="502C3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6DCB8B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78AA75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53710A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724EB8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2F0327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324055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1258B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C461223">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008FE60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center"/>
        <w:textAlignment w:val="auto"/>
        <w:outlineLvl w:val="0"/>
        <w:rPr>
          <w:rFonts w:hint="default" w:ascii="宋体" w:hAnsi="宋体" w:eastAsia="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b w:val="0"/>
          <w:bCs w:val="0"/>
          <w:color w:val="000000" w:themeColor="text1"/>
          <w:sz w:val="24"/>
          <w:szCs w:val="24"/>
          <w:lang w:val="en-US" w:eastAsia="zh-CN"/>
          <w14:textFill>
            <w14:solidFill>
              <w14:schemeClr w14:val="tx1"/>
            </w14:solidFill>
          </w14:textFill>
        </w:rPr>
        <w:t xml:space="preserve">  </w:t>
      </w:r>
      <w:r>
        <w:rPr>
          <w:rFonts w:hint="eastAsia" w:ascii="宋体" w:hAnsi="宋体" w:eastAsia="宋体"/>
          <w:b w:val="0"/>
          <w:bCs w:val="0"/>
          <w:color w:val="000000" w:themeColor="text1"/>
          <w:sz w:val="24"/>
          <w:szCs w:val="24"/>
          <w:lang w:val="en-US" w:eastAsia="zh-CN"/>
          <w14:textFill>
            <w14:solidFill>
              <w14:schemeClr w14:val="tx1"/>
            </w14:solidFill>
          </w14:textFill>
        </w:rPr>
        <w:t>合同编号：</w:t>
      </w:r>
    </w:p>
    <w:p w14:paraId="1AF71F35">
      <w:pPr>
        <w:spacing w:line="480" w:lineRule="exact"/>
        <w:jc w:val="center"/>
        <w:rPr>
          <w:rFonts w:ascii="黑体" w:hAnsi="宋体" w:eastAsia="黑体"/>
          <w:b/>
          <w:color w:val="auto"/>
          <w:sz w:val="44"/>
          <w:szCs w:val="44"/>
        </w:rPr>
      </w:pPr>
      <w:r>
        <w:rPr>
          <w:rFonts w:hint="eastAsia" w:ascii="黑体" w:hAnsi="宋体" w:eastAsia="黑体"/>
          <w:b/>
          <w:color w:val="auto"/>
          <w:sz w:val="44"/>
          <w:szCs w:val="44"/>
        </w:rPr>
        <w:t>医学数字资源平台服务合同</w:t>
      </w:r>
    </w:p>
    <w:p w14:paraId="71E1A02F">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ascii="黑体" w:eastAsia="黑体"/>
          <w:color w:val="auto"/>
          <w:sz w:val="30"/>
          <w:szCs w:val="30"/>
        </w:rPr>
      </w:pPr>
    </w:p>
    <w:p w14:paraId="72BE0695">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eastAsia" w:ascii="宋体" w:hAnsi="宋体" w:eastAsia="宋体"/>
          <w:b w:val="0"/>
          <w:bCs w:val="0"/>
          <w:color w:val="000000" w:themeColor="text1"/>
          <w:sz w:val="24"/>
          <w:szCs w:val="24"/>
          <w:lang w:val="en-US" w:eastAsia="zh-CN"/>
          <w14:textFill>
            <w14:solidFill>
              <w14:schemeClr w14:val="tx1"/>
            </w14:solidFill>
          </w14:textFill>
        </w:rPr>
      </w:pPr>
      <w:r>
        <w:rPr>
          <w:rFonts w:hint="eastAsia" w:ascii="宋体" w:hAnsi="宋体" w:eastAsia="宋体"/>
          <w:b w:val="0"/>
          <w:bCs w:val="0"/>
          <w:color w:val="000000" w:themeColor="text1"/>
          <w:sz w:val="24"/>
          <w:szCs w:val="24"/>
          <w:lang w:val="en-US" w:eastAsia="zh-CN"/>
          <w14:textFill>
            <w14:solidFill>
              <w14:schemeClr w14:val="tx1"/>
            </w14:solidFill>
          </w14:textFill>
        </w:rPr>
        <w:t>甲    方：娄底市中心医院</w:t>
      </w:r>
    </w:p>
    <w:p w14:paraId="7B69B2ED">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default" w:ascii="宋体" w:hAnsi="宋体" w:eastAsia="宋体"/>
          <w:b w:val="0"/>
          <w:bCs w:val="0"/>
          <w:color w:val="000000" w:themeColor="text1"/>
          <w:sz w:val="24"/>
          <w:szCs w:val="24"/>
          <w:lang w:val="en-US" w:eastAsia="zh-CN"/>
          <w14:textFill>
            <w14:solidFill>
              <w14:schemeClr w14:val="tx1"/>
            </w14:solidFill>
          </w14:textFill>
        </w:rPr>
      </w:pPr>
      <w:r>
        <w:rPr>
          <w:rFonts w:hint="eastAsia" w:ascii="宋体" w:hAnsi="宋体" w:eastAsia="宋体"/>
          <w:b w:val="0"/>
          <w:bCs w:val="0"/>
          <w:color w:val="000000" w:themeColor="text1"/>
          <w:sz w:val="24"/>
          <w:szCs w:val="24"/>
          <w:lang w:val="en-US" w:eastAsia="zh-CN"/>
          <w14:textFill>
            <w14:solidFill>
              <w14:schemeClr w14:val="tx1"/>
            </w14:solidFill>
          </w14:textFill>
        </w:rPr>
        <w:t>法定代表人：杨吉军</w:t>
      </w:r>
    </w:p>
    <w:p w14:paraId="1DBAC40B">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eastAsia" w:ascii="宋体" w:hAnsi="宋体" w:eastAsia="宋体"/>
          <w:b w:val="0"/>
          <w:bCs w:val="0"/>
          <w:color w:val="000000" w:themeColor="text1"/>
          <w:sz w:val="24"/>
          <w:szCs w:val="24"/>
          <w:lang w:val="en-US" w:eastAsia="zh-CN"/>
          <w14:textFill>
            <w14:solidFill>
              <w14:schemeClr w14:val="tx1"/>
            </w14:solidFill>
          </w14:textFill>
        </w:rPr>
      </w:pPr>
      <w:r>
        <w:rPr>
          <w:rFonts w:hint="eastAsia" w:ascii="宋体" w:hAnsi="宋体" w:eastAsia="宋体"/>
          <w:b w:val="0"/>
          <w:bCs w:val="0"/>
          <w:color w:val="000000" w:themeColor="text1"/>
          <w:sz w:val="24"/>
          <w:szCs w:val="24"/>
          <w:lang w:val="en-US" w:eastAsia="zh-CN"/>
          <w14:textFill>
            <w14:solidFill>
              <w14:schemeClr w14:val="tx1"/>
            </w14:solidFill>
          </w14:textFill>
        </w:rPr>
        <w:t xml:space="preserve">统一社会信用代码：12431300447162073W </w:t>
      </w:r>
    </w:p>
    <w:p w14:paraId="2D1E6C23">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 xml:space="preserve">                                       </w:t>
      </w:r>
    </w:p>
    <w:p w14:paraId="2A61010B">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乙    方：</w:t>
      </w:r>
    </w:p>
    <w:p w14:paraId="3D779143">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outlineLvl w:val="0"/>
        <w:rPr>
          <w:rFonts w:hint="default"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法定代表人：</w:t>
      </w:r>
    </w:p>
    <w:p w14:paraId="2F1FADC4">
      <w:pPr>
        <w:pStyle w:val="17"/>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统一社会信用代码： </w:t>
      </w:r>
    </w:p>
    <w:p w14:paraId="08AEC5E9">
      <w:pPr>
        <w:pStyle w:val="17"/>
        <w:spacing w:line="520" w:lineRule="exact"/>
        <w:rPr>
          <w:rFonts w:hint="eastAsia" w:ascii="宋体" w:hAnsi="宋体"/>
          <w:b w:val="0"/>
          <w:bCs w:val="0"/>
          <w:color w:val="000000" w:themeColor="text1"/>
          <w:sz w:val="28"/>
          <w:szCs w:val="28"/>
          <w14:textFill>
            <w14:solidFill>
              <w14:schemeClr w14:val="tx1"/>
            </w14:solidFill>
          </w14:textFill>
        </w:rPr>
      </w:pPr>
    </w:p>
    <w:p w14:paraId="34F32285">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ascii="黑体" w:eastAsia="黑体"/>
          <w:b/>
          <w:color w:val="auto"/>
          <w:sz w:val="24"/>
        </w:rPr>
      </w:pPr>
      <w:r>
        <w:rPr>
          <w:rFonts w:hint="eastAsia"/>
          <w:color w:val="auto"/>
          <w:sz w:val="24"/>
          <w:lang w:eastAsia="zh-CN"/>
        </w:rPr>
        <w:t>甲方通过</w:t>
      </w:r>
      <w:r>
        <w:rPr>
          <w:rFonts w:hint="eastAsia"/>
          <w:color w:val="auto"/>
          <w:sz w:val="24"/>
          <w:lang w:val="en-US" w:eastAsia="zh-CN"/>
        </w:rPr>
        <w:t>院内公开挂网方式</w:t>
      </w:r>
      <w:r>
        <w:rPr>
          <w:rFonts w:hint="eastAsia"/>
          <w:color w:val="auto"/>
          <w:sz w:val="24"/>
          <w:lang w:eastAsia="zh-CN"/>
        </w:rPr>
        <w:t>采购</w:t>
      </w:r>
      <w:r>
        <w:rPr>
          <w:rFonts w:hint="eastAsia"/>
          <w:color w:val="auto"/>
          <w:sz w:val="24"/>
          <w:u w:val="single"/>
          <w:lang w:eastAsia="zh-CN"/>
        </w:rPr>
        <w:t>医学数字资源平台服务</w:t>
      </w:r>
      <w:r>
        <w:rPr>
          <w:rFonts w:hint="eastAsia"/>
          <w:color w:val="auto"/>
          <w:sz w:val="24"/>
          <w:lang w:eastAsia="zh-CN"/>
        </w:rPr>
        <w:t>，乙方为成交供应商，项目编号：</w:t>
      </w:r>
      <w:r>
        <w:rPr>
          <w:rFonts w:hint="eastAsia"/>
          <w:color w:val="auto"/>
          <w:sz w:val="24"/>
          <w:u w:val="single"/>
          <w:lang w:val="en-US" w:eastAsia="zh-CN"/>
        </w:rPr>
        <w:t xml:space="preserve"> / </w:t>
      </w:r>
      <w:r>
        <w:rPr>
          <w:rFonts w:hint="eastAsia"/>
          <w:color w:val="auto"/>
          <w:sz w:val="24"/>
          <w:lang w:eastAsia="zh-CN"/>
        </w:rPr>
        <w:t>。</w:t>
      </w:r>
      <w:r>
        <w:rPr>
          <w:rFonts w:hint="eastAsia"/>
          <w:color w:val="auto"/>
          <w:sz w:val="24"/>
        </w:rPr>
        <w:t>根据《中华人民共和国民法典》《中华人民共和国著作权法》和</w:t>
      </w:r>
      <w:r>
        <w:rPr>
          <w:rFonts w:hint="eastAsia"/>
          <w:color w:val="auto"/>
          <w:sz w:val="24"/>
          <w:lang w:eastAsia="zh-CN"/>
        </w:rPr>
        <w:t>其他</w:t>
      </w:r>
      <w:r>
        <w:rPr>
          <w:rFonts w:hint="eastAsia"/>
          <w:color w:val="auto"/>
          <w:sz w:val="24"/>
        </w:rPr>
        <w:t>相关法律法规的规定，本着诚实信用、友好合作的原则，甲乙双方就甲方使用乙方</w:t>
      </w:r>
      <w:r>
        <w:rPr>
          <w:rFonts w:hint="eastAsia"/>
          <w:color w:val="auto"/>
          <w:sz w:val="24"/>
          <w:lang w:eastAsia="zh-CN"/>
        </w:rPr>
        <w:t>医学数字资源平台</w:t>
      </w:r>
      <w:r>
        <w:rPr>
          <w:rFonts w:hint="eastAsia"/>
          <w:color w:val="auto"/>
          <w:sz w:val="24"/>
        </w:rPr>
        <w:t>服务</w:t>
      </w:r>
      <w:r>
        <w:rPr>
          <w:rFonts w:hint="eastAsia" w:ascii="宋体" w:hAnsi="宋体"/>
          <w:bCs/>
          <w:color w:val="auto"/>
          <w:sz w:val="24"/>
        </w:rPr>
        <w:t>的相关</w:t>
      </w:r>
      <w:r>
        <w:rPr>
          <w:rFonts w:hint="eastAsia"/>
          <w:color w:val="auto"/>
          <w:sz w:val="24"/>
        </w:rPr>
        <w:t>事宜协商一致，签订本合同，以资共同遵守。</w:t>
      </w:r>
    </w:p>
    <w:p w14:paraId="46EA8148">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hint="default" w:ascii="宋体" w:hAnsi="宋体" w:eastAsia="宋体" w:cs="宋体"/>
          <w:b/>
          <w:color w:val="auto"/>
          <w:sz w:val="24"/>
          <w:lang w:val="en-US" w:eastAsia="zh-CN"/>
        </w:rPr>
      </w:pPr>
      <w:r>
        <w:rPr>
          <w:rFonts w:hint="eastAsia" w:ascii="宋体" w:hAnsi="宋体" w:cs="宋体"/>
          <w:b/>
          <w:color w:val="auto"/>
          <w:sz w:val="24"/>
        </w:rPr>
        <w:t xml:space="preserve">第一条  </w:t>
      </w:r>
      <w:r>
        <w:rPr>
          <w:rFonts w:hint="eastAsia" w:ascii="宋体" w:hAnsi="宋体" w:cs="宋体"/>
          <w:b/>
          <w:color w:val="auto"/>
          <w:sz w:val="24"/>
          <w:lang w:val="en-US" w:eastAsia="zh-CN"/>
        </w:rPr>
        <w:t>服务</w:t>
      </w:r>
      <w:r>
        <w:rPr>
          <w:rFonts w:hint="eastAsia" w:ascii="宋体" w:hAnsi="宋体" w:cs="宋体"/>
          <w:b/>
          <w:color w:val="auto"/>
          <w:sz w:val="24"/>
        </w:rPr>
        <w:t>内容</w:t>
      </w:r>
      <w:r>
        <w:rPr>
          <w:rFonts w:hint="eastAsia" w:ascii="宋体" w:hAnsi="宋体" w:cs="宋体"/>
          <w:b/>
          <w:color w:val="auto"/>
          <w:sz w:val="24"/>
          <w:lang w:val="en-US" w:eastAsia="zh-CN"/>
        </w:rPr>
        <w:t>及要求</w:t>
      </w:r>
    </w:p>
    <w:p w14:paraId="5CEEECB5">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ascii="宋体" w:hAnsi="宋体" w:cs="宋体"/>
          <w:color w:val="auto"/>
          <w:sz w:val="24"/>
        </w:rPr>
      </w:pPr>
      <w:r>
        <w:rPr>
          <w:rFonts w:hint="eastAsia" w:ascii="宋体" w:hAnsi="宋体" w:cs="宋体"/>
          <w:color w:val="auto"/>
          <w:sz w:val="24"/>
        </w:rPr>
        <w:t xml:space="preserve">1.1 自本合同签字盖章之日起 </w:t>
      </w:r>
      <w:r>
        <w:rPr>
          <w:rFonts w:ascii="宋体" w:hAnsi="宋体" w:cs="宋体"/>
          <w:color w:val="auto"/>
          <w:sz w:val="24"/>
        </w:rPr>
        <w:t>3</w:t>
      </w:r>
      <w:r>
        <w:rPr>
          <w:rFonts w:hint="eastAsia" w:ascii="宋体" w:hAnsi="宋体" w:cs="宋体"/>
          <w:color w:val="auto"/>
          <w:sz w:val="24"/>
        </w:rPr>
        <w:t>日内，乙方为甲方开通</w:t>
      </w:r>
      <w:r>
        <w:rPr>
          <w:rFonts w:hint="eastAsia" w:ascii="宋体" w:hAnsi="宋体" w:cs="宋体"/>
          <w:color w:val="auto"/>
          <w:sz w:val="24"/>
          <w:lang w:eastAsia="zh-CN"/>
        </w:rPr>
        <w:t>医学数字资源平台</w:t>
      </w:r>
      <w:r>
        <w:rPr>
          <w:rFonts w:hint="eastAsia" w:ascii="宋体" w:hAnsi="宋体" w:cs="宋体"/>
          <w:color w:val="auto"/>
          <w:sz w:val="24"/>
        </w:rPr>
        <w:t>使用服务，使用方式为网站（包库）。</w:t>
      </w:r>
    </w:p>
    <w:p w14:paraId="11DAA0DB">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default" w:ascii="宋体" w:hAnsi="宋体" w:eastAsia="宋体" w:cs="宋体"/>
          <w:color w:val="auto"/>
          <w:sz w:val="24"/>
          <w:lang w:val="en-US" w:eastAsia="zh-CN"/>
        </w:rPr>
      </w:pPr>
      <w:r>
        <w:rPr>
          <w:rFonts w:hint="eastAsia" w:ascii="宋体" w:hAnsi="宋体" w:cs="宋体"/>
          <w:color w:val="auto"/>
          <w:sz w:val="24"/>
        </w:rPr>
        <w:t>1.2 甲方在服务期限内享有乙方</w:t>
      </w:r>
      <w:r>
        <w:rPr>
          <w:rFonts w:hint="eastAsia" w:ascii="宋体" w:hAnsi="宋体" w:cs="宋体"/>
          <w:color w:val="auto"/>
          <w:sz w:val="24"/>
          <w:lang w:eastAsia="zh-CN"/>
        </w:rPr>
        <w:t>医学数字资源平台</w:t>
      </w:r>
      <w:r>
        <w:rPr>
          <w:rFonts w:hint="eastAsia" w:ascii="宋体" w:hAnsi="宋体" w:cs="宋体"/>
          <w:color w:val="auto"/>
          <w:sz w:val="24"/>
        </w:rPr>
        <w:t>基本服务</w:t>
      </w:r>
      <w:r>
        <w:rPr>
          <w:rFonts w:hint="eastAsia" w:ascii="宋体" w:hAnsi="宋体" w:cs="宋体"/>
          <w:color w:val="auto"/>
          <w:sz w:val="24"/>
          <w:lang w:eastAsia="zh-CN"/>
        </w:rPr>
        <w:t>，</w:t>
      </w:r>
      <w:r>
        <w:rPr>
          <w:rFonts w:hint="eastAsia" w:ascii="宋体" w:hAnsi="宋体" w:cs="宋体"/>
          <w:color w:val="FF0000"/>
          <w:sz w:val="24"/>
          <w:lang w:val="en-US" w:eastAsia="zh-CN"/>
        </w:rPr>
        <w:t>基本服务内容</w:t>
      </w:r>
      <w:r>
        <w:rPr>
          <w:rFonts w:hint="eastAsia" w:ascii="宋体" w:hAnsi="宋体" w:cs="宋体"/>
          <w:color w:val="auto"/>
          <w:sz w:val="24"/>
          <w:lang w:val="en-US" w:eastAsia="zh-CN"/>
        </w:rPr>
        <w:t>详见附件。</w:t>
      </w:r>
    </w:p>
    <w:p w14:paraId="28B3C6B2">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ascii="宋体" w:hAnsi="宋体" w:cs="宋体"/>
          <w:b/>
          <w:bCs/>
          <w:color w:val="auto"/>
          <w:sz w:val="24"/>
        </w:rPr>
      </w:pPr>
      <w:r>
        <w:rPr>
          <w:rFonts w:hint="eastAsia" w:ascii="宋体" w:hAnsi="宋体" w:cs="宋体"/>
          <w:b/>
          <w:bCs/>
          <w:color w:val="auto"/>
          <w:sz w:val="24"/>
        </w:rPr>
        <w:t xml:space="preserve">第二条 </w:t>
      </w:r>
      <w:r>
        <w:rPr>
          <w:rFonts w:hint="eastAsia" w:ascii="宋体" w:hAnsi="宋体" w:cs="宋体"/>
          <w:b/>
          <w:bCs/>
          <w:color w:val="auto"/>
          <w:sz w:val="24"/>
          <w:lang w:val="en-US" w:eastAsia="zh-CN"/>
        </w:rPr>
        <w:t>服务</w:t>
      </w:r>
      <w:r>
        <w:rPr>
          <w:rFonts w:hint="eastAsia" w:ascii="宋体" w:hAnsi="宋体" w:cs="宋体"/>
          <w:b/>
          <w:bCs/>
          <w:color w:val="auto"/>
          <w:sz w:val="24"/>
        </w:rPr>
        <w:t>期限</w:t>
      </w:r>
    </w:p>
    <w:p w14:paraId="49BC7220">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合同期限</w:t>
      </w:r>
      <w:r>
        <w:rPr>
          <w:rFonts w:hint="eastAsia" w:ascii="宋体" w:hAnsi="宋体" w:eastAsia="宋体" w:cs="宋体"/>
          <w:color w:val="auto"/>
          <w:sz w:val="24"/>
        </w:rPr>
        <w:t>为</w:t>
      </w:r>
      <w:r>
        <w:rPr>
          <w:rFonts w:hint="eastAsia" w:ascii="宋体" w:hAnsi="宋体" w:eastAsia="宋体" w:cs="宋体"/>
          <w:color w:val="auto"/>
          <w:sz w:val="24"/>
          <w:lang w:val="en-US" w:eastAsia="zh-CN"/>
        </w:rPr>
        <w:t>三</w:t>
      </w:r>
      <w:r>
        <w:rPr>
          <w:rFonts w:hint="eastAsia" w:ascii="宋体" w:hAnsi="宋体" w:eastAsia="宋体" w:cs="宋体"/>
          <w:color w:val="auto"/>
          <w:sz w:val="24"/>
        </w:rPr>
        <w:t>年，自</w:t>
      </w:r>
      <w:r>
        <w:rPr>
          <w:rFonts w:hint="eastAsia" w:ascii="宋体" w:hAnsi="宋体" w:eastAsia="宋体" w:cs="宋体"/>
          <w:color w:val="auto"/>
          <w:sz w:val="24"/>
          <w:lang w:val="en-US" w:eastAsia="zh-CN"/>
        </w:rPr>
        <w:t>2026</w:t>
      </w:r>
      <w:r>
        <w:rPr>
          <w:rFonts w:hint="eastAsia" w:ascii="宋体" w:hAnsi="宋体" w:eastAsia="宋体" w:cs="宋体"/>
          <w:color w:val="auto"/>
          <w:sz w:val="24"/>
        </w:rPr>
        <w:t xml:space="preserve">年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月  日起至</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年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月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日止。</w:t>
      </w:r>
    </w:p>
    <w:p w14:paraId="4F8684FE">
      <w:pPr>
        <w:keepNext w:val="0"/>
        <w:keepLines w:val="0"/>
        <w:pageBreakBefore w:val="0"/>
        <w:widowControl w:val="0"/>
        <w:numPr>
          <w:ilvl w:val="0"/>
          <w:numId w:val="3"/>
        </w:numPr>
        <w:kinsoku/>
        <w:wordWrap/>
        <w:overflowPunct/>
        <w:topLinePunct w:val="0"/>
        <w:autoSpaceDE/>
        <w:bidi w:val="0"/>
        <w:spacing w:line="480" w:lineRule="exact"/>
        <w:ind w:right="0" w:rightChars="0" w:firstLine="482" w:firstLineChars="200"/>
        <w:textAlignment w:val="auto"/>
        <w:rPr>
          <w:rFonts w:ascii="宋体" w:hAnsi="宋体" w:cs="宋体"/>
          <w:b/>
          <w:bCs/>
          <w:color w:val="auto"/>
          <w:sz w:val="24"/>
        </w:rPr>
      </w:pPr>
      <w:r>
        <w:rPr>
          <w:rFonts w:hint="eastAsia" w:ascii="宋体" w:hAnsi="宋体" w:cs="宋体"/>
          <w:b/>
          <w:bCs/>
          <w:color w:val="auto"/>
          <w:sz w:val="24"/>
        </w:rPr>
        <w:t>试用期约定</w:t>
      </w:r>
    </w:p>
    <w:p w14:paraId="0B0240D3">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ascii="宋体" w:hAnsi="宋体" w:cs="宋体"/>
          <w:color w:val="auto"/>
          <w:sz w:val="24"/>
        </w:rPr>
      </w:pPr>
      <w:r>
        <w:rPr>
          <w:rFonts w:hint="eastAsia" w:ascii="宋体" w:hAnsi="宋体" w:cs="宋体"/>
          <w:color w:val="auto"/>
          <w:sz w:val="24"/>
          <w:lang w:val="en-US" w:eastAsia="zh-CN"/>
        </w:rPr>
        <w:t>自</w:t>
      </w:r>
      <w:r>
        <w:rPr>
          <w:rFonts w:hint="eastAsia" w:ascii="宋体" w:hAnsi="宋体" w:cs="宋体"/>
          <w:color w:val="auto"/>
          <w:sz w:val="24"/>
        </w:rPr>
        <w:t>乙方开通服务之日起30日为试用期，试用期结束时甲方对平台服务是否符合标准作出评价，</w:t>
      </w:r>
      <w:r>
        <w:rPr>
          <w:rFonts w:hint="eastAsia" w:ascii="宋体" w:hAnsi="宋体" w:cs="宋体"/>
          <w:color w:val="auto"/>
          <w:sz w:val="24"/>
          <w:lang w:val="en-US" w:eastAsia="zh-CN"/>
        </w:rPr>
        <w:t>经甲方评价</w:t>
      </w:r>
      <w:r>
        <w:rPr>
          <w:rFonts w:hint="eastAsia" w:ascii="宋体" w:hAnsi="宋体" w:cs="宋体"/>
          <w:color w:val="auto"/>
          <w:sz w:val="24"/>
        </w:rPr>
        <w:t>符合标准</w:t>
      </w:r>
      <w:r>
        <w:rPr>
          <w:rFonts w:hint="eastAsia" w:ascii="宋体" w:hAnsi="宋体" w:cs="宋体"/>
          <w:color w:val="auto"/>
          <w:sz w:val="24"/>
          <w:lang w:val="en-US" w:eastAsia="zh-CN"/>
        </w:rPr>
        <w:t>后向乙方签署</w:t>
      </w:r>
      <w:r>
        <w:rPr>
          <w:rFonts w:hint="eastAsia" w:ascii="宋体" w:hAnsi="宋体" w:cs="宋体"/>
          <w:color w:val="auto"/>
          <w:sz w:val="24"/>
        </w:rPr>
        <w:t>验收</w:t>
      </w:r>
      <w:r>
        <w:rPr>
          <w:rFonts w:hint="eastAsia" w:ascii="宋体" w:hAnsi="宋体" w:cs="宋体"/>
          <w:color w:val="auto"/>
          <w:sz w:val="24"/>
          <w:lang w:val="en-US" w:eastAsia="zh-CN"/>
        </w:rPr>
        <w:t>合格</w:t>
      </w:r>
      <w:r>
        <w:rPr>
          <w:rFonts w:hint="eastAsia" w:ascii="宋体" w:hAnsi="宋体" w:cs="宋体"/>
          <w:color w:val="auto"/>
          <w:sz w:val="24"/>
        </w:rPr>
        <w:t>单</w:t>
      </w:r>
      <w:r>
        <w:rPr>
          <w:rFonts w:hint="eastAsia" w:ascii="宋体" w:hAnsi="宋体" w:cs="宋体"/>
          <w:color w:val="auto"/>
          <w:sz w:val="24"/>
          <w:lang w:eastAsia="zh-CN"/>
        </w:rPr>
        <w:t>。</w:t>
      </w:r>
    </w:p>
    <w:p w14:paraId="0A869F9D">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ascii="宋体" w:hAnsi="宋体" w:cs="宋体"/>
          <w:b/>
          <w:color w:val="auto"/>
          <w:sz w:val="24"/>
        </w:rPr>
      </w:pPr>
      <w:r>
        <w:rPr>
          <w:rFonts w:hint="eastAsia" w:ascii="宋体" w:hAnsi="宋体" w:cs="宋体"/>
          <w:b/>
          <w:color w:val="auto"/>
          <w:sz w:val="24"/>
        </w:rPr>
        <w:t>第四条  甲方及使用方权利与义务</w:t>
      </w:r>
    </w:p>
    <w:p w14:paraId="633F2B2D">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ascii="宋体" w:hAnsi="宋体"/>
          <w:bCs/>
          <w:color w:val="auto"/>
          <w:sz w:val="24"/>
        </w:rPr>
      </w:pPr>
      <w:r>
        <w:rPr>
          <w:rFonts w:hint="eastAsia"/>
          <w:color w:val="auto"/>
          <w:sz w:val="24"/>
        </w:rPr>
        <w:t>4.1 甲方可以在本合同约定范围内自主使用</w:t>
      </w:r>
      <w:r>
        <w:rPr>
          <w:rFonts w:hint="eastAsia" w:ascii="宋体" w:hAnsi="宋体" w:cs="宋体"/>
          <w:color w:val="auto"/>
          <w:sz w:val="24"/>
          <w:lang w:eastAsia="zh-CN"/>
        </w:rPr>
        <w:t>医学数字资源平台</w:t>
      </w:r>
      <w:r>
        <w:rPr>
          <w:rFonts w:hint="eastAsia" w:ascii="宋体" w:hAnsi="宋体"/>
          <w:bCs/>
          <w:color w:val="auto"/>
          <w:sz w:val="24"/>
        </w:rPr>
        <w:t>，并获得与使用相关的服务。</w:t>
      </w:r>
    </w:p>
    <w:p w14:paraId="065564EA">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color w:val="auto"/>
          <w:sz w:val="24"/>
        </w:rPr>
      </w:pPr>
      <w:r>
        <w:rPr>
          <w:rFonts w:hint="eastAsia"/>
          <w:color w:val="auto"/>
          <w:sz w:val="24"/>
        </w:rPr>
        <w:t xml:space="preserve">4.2 甲方通过乙方授权后的注册账号，使用本合同约定产品及服务。 </w:t>
      </w:r>
    </w:p>
    <w:p w14:paraId="303F4BC3">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color w:val="auto"/>
          <w:sz w:val="24"/>
        </w:rPr>
      </w:pPr>
      <w:r>
        <w:rPr>
          <w:rFonts w:hint="eastAsia"/>
          <w:color w:val="auto"/>
          <w:sz w:val="24"/>
        </w:rPr>
        <w:t>4.3 甲方应对本单位人员使用</w:t>
      </w:r>
      <w:r>
        <w:rPr>
          <w:rFonts w:hint="eastAsia"/>
          <w:color w:val="auto"/>
          <w:sz w:val="24"/>
          <w:lang w:eastAsia="zh-CN"/>
        </w:rPr>
        <w:t>医学数字资源平台</w:t>
      </w:r>
      <w:r>
        <w:rPr>
          <w:rFonts w:hint="eastAsia"/>
          <w:color w:val="auto"/>
          <w:sz w:val="24"/>
        </w:rPr>
        <w:t>的行为进行约束，以保证不违反相应的义务；否则应限制或禁止违反者再次使用，并对乙方承担赔偿责任。</w:t>
      </w:r>
    </w:p>
    <w:p w14:paraId="003A40E1">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r>
        <w:rPr>
          <w:rFonts w:hint="eastAsia"/>
          <w:color w:val="auto"/>
          <w:sz w:val="24"/>
        </w:rPr>
        <w:t>4</w:t>
      </w:r>
      <w:r>
        <w:rPr>
          <w:rFonts w:hint="eastAsia"/>
          <w:color w:val="auto"/>
          <w:sz w:val="24"/>
          <w:lang w:val="en-US" w:eastAsia="zh-CN"/>
        </w:rPr>
        <w:t>.4</w:t>
      </w:r>
      <w:r>
        <w:rPr>
          <w:rFonts w:hint="eastAsia"/>
          <w:color w:val="auto"/>
          <w:sz w:val="24"/>
        </w:rPr>
        <w:t xml:space="preserve"> 遵守本合同第六条关于“知识产权保护”所约定之各项条款。</w:t>
      </w:r>
    </w:p>
    <w:p w14:paraId="0409BD53">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ascii="宋体" w:hAnsi="宋体" w:cs="宋体"/>
          <w:b/>
          <w:color w:val="auto"/>
          <w:sz w:val="24"/>
        </w:rPr>
      </w:pPr>
      <w:r>
        <w:rPr>
          <w:rFonts w:hint="eastAsia" w:ascii="宋体" w:hAnsi="宋体" w:cs="宋体"/>
          <w:b/>
          <w:color w:val="auto"/>
          <w:sz w:val="24"/>
        </w:rPr>
        <w:t>第五条 乙方权利与义务</w:t>
      </w:r>
    </w:p>
    <w:p w14:paraId="262AE353">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ascii="宋体" w:hAnsi="宋体"/>
          <w:bCs/>
          <w:color w:val="auto"/>
          <w:sz w:val="24"/>
        </w:rPr>
      </w:pPr>
      <w:r>
        <w:rPr>
          <w:rFonts w:hint="eastAsia"/>
          <w:color w:val="auto"/>
          <w:sz w:val="24"/>
        </w:rPr>
        <w:t>5.1  乙方提供符合本合同约定的使用服务，保证甲方能够正常使用</w:t>
      </w:r>
      <w:r>
        <w:rPr>
          <w:rFonts w:hint="eastAsia"/>
          <w:color w:val="auto"/>
          <w:sz w:val="24"/>
          <w:lang w:eastAsia="zh-CN"/>
        </w:rPr>
        <w:t>医学数字资源平台</w:t>
      </w:r>
      <w:r>
        <w:rPr>
          <w:rFonts w:hint="eastAsia" w:ascii="宋体" w:hAnsi="宋体"/>
          <w:bCs/>
          <w:color w:val="auto"/>
          <w:sz w:val="24"/>
        </w:rPr>
        <w:t>，非因法定情形不受干涉和影响。</w:t>
      </w:r>
    </w:p>
    <w:p w14:paraId="3A073866">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color w:val="auto"/>
        </w:rPr>
      </w:pPr>
      <w:r>
        <w:rPr>
          <w:rFonts w:hint="eastAsia" w:ascii="Times New Roman" w:hAnsi="Times New Roman" w:eastAsia="宋体" w:cs="Times New Roman"/>
          <w:bCs w:val="0"/>
          <w:color w:val="auto"/>
          <w:sz w:val="24"/>
        </w:rPr>
        <w:t>5.</w:t>
      </w:r>
      <w:r>
        <w:rPr>
          <w:rFonts w:hint="eastAsia" w:ascii="Times New Roman" w:hAnsi="Times New Roman" w:eastAsia="宋体" w:cs="Times New Roman"/>
          <w:bCs w:val="0"/>
          <w:color w:val="auto"/>
          <w:sz w:val="24"/>
          <w:lang w:val="en-US" w:eastAsia="zh-CN"/>
        </w:rPr>
        <w:t>2</w:t>
      </w:r>
      <w:r>
        <w:rPr>
          <w:rFonts w:hint="eastAsia" w:ascii="宋体" w:hAnsi="宋体"/>
          <w:bCs/>
          <w:color w:val="auto"/>
          <w:sz w:val="24"/>
        </w:rPr>
        <w:t xml:space="preserve"> 乙方提供</w:t>
      </w:r>
      <w:r>
        <w:rPr>
          <w:rFonts w:hint="eastAsia" w:ascii="宋体" w:hAnsi="宋体"/>
          <w:bCs/>
          <w:color w:val="auto"/>
          <w:sz w:val="24"/>
          <w:lang w:eastAsia="zh-CN"/>
        </w:rPr>
        <w:t>医学数字资源平台</w:t>
      </w:r>
      <w:r>
        <w:rPr>
          <w:rFonts w:hint="eastAsia" w:ascii="宋体" w:hAnsi="宋体"/>
          <w:bCs/>
          <w:color w:val="auto"/>
          <w:sz w:val="24"/>
        </w:rPr>
        <w:t>的免费维护和更新服务；如平台出现使用故障，乙方承诺在收到甲方通知（包括电话通知）之时起1小时内消除故障。</w:t>
      </w:r>
      <w:r>
        <w:rPr>
          <w:rFonts w:hint="eastAsia"/>
          <w:color w:val="auto"/>
          <w:sz w:val="24"/>
          <w:lang w:val="en-US" w:eastAsia="zh-CN"/>
        </w:rPr>
        <w:t>如乙方平台出现使用故障导致甲方无法正常使用达到</w:t>
      </w:r>
      <w:r>
        <w:rPr>
          <w:rFonts w:hint="eastAsia"/>
          <w:color w:val="auto"/>
          <w:sz w:val="24"/>
          <w:u w:val="single"/>
          <w:lang w:val="en-US" w:eastAsia="zh-CN"/>
        </w:rPr>
        <w:t xml:space="preserve"> 5 </w:t>
      </w:r>
      <w:r>
        <w:rPr>
          <w:rFonts w:hint="eastAsia"/>
          <w:color w:val="auto"/>
          <w:sz w:val="24"/>
          <w:lang w:val="en-US" w:eastAsia="zh-CN"/>
        </w:rPr>
        <w:t>日时，甲方有权顺延相应使用期限。</w:t>
      </w:r>
    </w:p>
    <w:p w14:paraId="2C610894">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ascii="宋体" w:hAnsi="宋体"/>
          <w:bCs/>
          <w:color w:val="auto"/>
          <w:sz w:val="24"/>
        </w:rPr>
      </w:pPr>
      <w:r>
        <w:rPr>
          <w:rFonts w:hint="eastAsia" w:ascii="Times New Roman" w:hAnsi="Times New Roman" w:eastAsia="宋体" w:cs="Times New Roman"/>
          <w:bCs w:val="0"/>
          <w:color w:val="auto"/>
          <w:sz w:val="24"/>
        </w:rPr>
        <w:t>5.</w:t>
      </w:r>
      <w:r>
        <w:rPr>
          <w:rFonts w:hint="eastAsia" w:ascii="Times New Roman" w:hAnsi="Times New Roman" w:eastAsia="宋体" w:cs="Times New Roman"/>
          <w:bCs w:val="0"/>
          <w:color w:val="auto"/>
          <w:sz w:val="24"/>
          <w:lang w:val="en-US" w:eastAsia="zh-CN"/>
        </w:rPr>
        <w:t>3</w:t>
      </w:r>
      <w:r>
        <w:rPr>
          <w:rFonts w:hint="eastAsia" w:ascii="宋体" w:hAnsi="宋体"/>
          <w:bCs/>
          <w:color w:val="auto"/>
          <w:sz w:val="24"/>
        </w:rPr>
        <w:t xml:space="preserve"> 乙方承诺</w:t>
      </w:r>
      <w:r>
        <w:rPr>
          <w:rFonts w:hint="eastAsia" w:ascii="宋体" w:hAnsi="宋体"/>
          <w:bCs/>
          <w:color w:val="auto"/>
          <w:sz w:val="24"/>
          <w:lang w:eastAsia="zh-CN"/>
        </w:rPr>
        <w:t>医学数字资源平台</w:t>
      </w:r>
      <w:r>
        <w:rPr>
          <w:rFonts w:hint="eastAsia" w:ascii="宋体" w:hAnsi="宋体"/>
          <w:bCs/>
          <w:color w:val="auto"/>
          <w:sz w:val="24"/>
        </w:rPr>
        <w:t>下各数据库收录作品均可通过下载或其他方式免费获取。</w:t>
      </w:r>
    </w:p>
    <w:p w14:paraId="3B016D7C">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color w:val="auto"/>
          <w:sz w:val="24"/>
        </w:rPr>
      </w:pPr>
      <w:r>
        <w:rPr>
          <w:rFonts w:hint="eastAsia" w:ascii="Times New Roman" w:hAnsi="Times New Roman" w:eastAsia="宋体" w:cs="Times New Roman"/>
          <w:bCs w:val="0"/>
          <w:color w:val="auto"/>
          <w:sz w:val="24"/>
        </w:rPr>
        <w:t>5.</w:t>
      </w:r>
      <w:r>
        <w:rPr>
          <w:rFonts w:hint="eastAsia" w:ascii="Times New Roman" w:hAnsi="Times New Roman" w:eastAsia="宋体" w:cs="Times New Roman"/>
          <w:bCs w:val="0"/>
          <w:color w:val="auto"/>
          <w:sz w:val="24"/>
          <w:lang w:val="en-US" w:eastAsia="zh-CN"/>
        </w:rPr>
        <w:t>4</w:t>
      </w:r>
      <w:r>
        <w:rPr>
          <w:rFonts w:ascii="宋体" w:hAnsi="宋体"/>
          <w:bCs/>
          <w:color w:val="auto"/>
          <w:sz w:val="24"/>
        </w:rPr>
        <w:t xml:space="preserve"> </w:t>
      </w:r>
      <w:r>
        <w:rPr>
          <w:rFonts w:hint="eastAsia"/>
          <w:color w:val="auto"/>
          <w:sz w:val="24"/>
        </w:rPr>
        <w:t>遵守本合同第六条关于“知识产权保护”所约定之各项条款。</w:t>
      </w:r>
    </w:p>
    <w:p w14:paraId="150A0B2C">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b/>
          <w:bCs/>
          <w:color w:val="auto"/>
          <w:sz w:val="24"/>
        </w:rPr>
      </w:pPr>
      <w:r>
        <w:rPr>
          <w:rFonts w:hint="eastAsia"/>
          <w:b/>
          <w:bCs/>
          <w:color w:val="auto"/>
          <w:sz w:val="24"/>
        </w:rPr>
        <w:t>第六条 知识产权保护</w:t>
      </w:r>
    </w:p>
    <w:p w14:paraId="50236346">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lang w:eastAsia="zh-CN"/>
        </w:rPr>
      </w:pPr>
      <w:r>
        <w:rPr>
          <w:rFonts w:hint="eastAsia"/>
          <w:color w:val="auto"/>
          <w:sz w:val="24"/>
        </w:rPr>
        <w:t>6.1 乙方拥有</w:t>
      </w:r>
      <w:r>
        <w:rPr>
          <w:rFonts w:hint="eastAsia"/>
          <w:color w:val="auto"/>
          <w:sz w:val="24"/>
          <w:lang w:eastAsia="zh-CN"/>
        </w:rPr>
        <w:t>医学数字资源平台</w:t>
      </w:r>
      <w:r>
        <w:rPr>
          <w:rFonts w:hint="eastAsia"/>
          <w:color w:val="auto"/>
          <w:sz w:val="24"/>
        </w:rPr>
        <w:t>的知识产权，</w:t>
      </w:r>
      <w:r>
        <w:rPr>
          <w:rFonts w:hint="eastAsia"/>
          <w:color w:val="FF0000"/>
          <w:sz w:val="24"/>
          <w:lang w:val="en-US" w:eastAsia="zh-CN"/>
        </w:rPr>
        <w:t>应保证其平台内容的合法性，</w:t>
      </w:r>
      <w:r>
        <w:rPr>
          <w:rFonts w:hint="eastAsia"/>
          <w:color w:val="auto"/>
          <w:sz w:val="24"/>
        </w:rPr>
        <w:t>承诺收录作品的使用均已获得许可并承担收录作品的著作权使用报酬支付义务</w:t>
      </w:r>
      <w:r>
        <w:rPr>
          <w:rFonts w:hint="eastAsia"/>
          <w:color w:val="auto"/>
          <w:sz w:val="24"/>
          <w:lang w:eastAsia="zh-CN"/>
        </w:rPr>
        <w:t>，</w:t>
      </w:r>
      <w:r>
        <w:rPr>
          <w:rFonts w:hint="eastAsia"/>
          <w:color w:val="0000FF"/>
          <w:sz w:val="24"/>
        </w:rPr>
        <w:t>否则</w:t>
      </w:r>
      <w:r>
        <w:rPr>
          <w:rFonts w:hint="eastAsia"/>
          <w:color w:val="0000FF"/>
          <w:sz w:val="24"/>
          <w:lang w:val="en-US" w:eastAsia="zh-CN"/>
        </w:rPr>
        <w:t>由</w:t>
      </w:r>
      <w:r>
        <w:rPr>
          <w:rFonts w:hint="eastAsia"/>
          <w:color w:val="0000FF"/>
          <w:sz w:val="24"/>
        </w:rPr>
        <w:t>乙方承担全部法律责任和经济赔偿</w:t>
      </w:r>
      <w:r>
        <w:rPr>
          <w:rFonts w:hint="eastAsia"/>
          <w:color w:val="0000FF"/>
          <w:sz w:val="24"/>
          <w:lang w:val="en-US" w:eastAsia="zh-CN"/>
        </w:rPr>
        <w:t>责任</w:t>
      </w:r>
      <w:r>
        <w:rPr>
          <w:rFonts w:hint="eastAsia"/>
          <w:color w:val="auto"/>
          <w:sz w:val="24"/>
          <w:lang w:eastAsia="zh-CN"/>
        </w:rPr>
        <w:t>。</w:t>
      </w:r>
    </w:p>
    <w:p w14:paraId="41EB2317">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color w:val="auto"/>
          <w:sz w:val="24"/>
        </w:rPr>
      </w:pPr>
      <w:r>
        <w:rPr>
          <w:rFonts w:hint="eastAsia"/>
          <w:color w:val="auto"/>
          <w:sz w:val="24"/>
        </w:rPr>
        <w:t>6.2 甲方不得以任何形式对</w:t>
      </w:r>
      <w:r>
        <w:rPr>
          <w:rFonts w:hint="eastAsia"/>
          <w:color w:val="auto"/>
          <w:sz w:val="24"/>
          <w:lang w:eastAsia="zh-CN"/>
        </w:rPr>
        <w:t>医学数字资源平台</w:t>
      </w:r>
      <w:r>
        <w:rPr>
          <w:rFonts w:hint="eastAsia"/>
          <w:color w:val="auto"/>
          <w:sz w:val="24"/>
        </w:rPr>
        <w:t>系统进行解密或复制，未经乙方同意，甲方不得在本合同第四条所涉范围之外（包括但不限于：转让、出租或者出借等形式）提供以</w:t>
      </w:r>
      <w:r>
        <w:rPr>
          <w:rFonts w:hint="eastAsia"/>
          <w:color w:val="auto"/>
          <w:sz w:val="24"/>
          <w:lang w:eastAsia="zh-CN"/>
        </w:rPr>
        <w:t>医学数字资源平台</w:t>
      </w:r>
      <w:r>
        <w:rPr>
          <w:rFonts w:hint="eastAsia"/>
          <w:color w:val="auto"/>
          <w:sz w:val="24"/>
        </w:rPr>
        <w:t>为主要内容的服务。</w:t>
      </w:r>
    </w:p>
    <w:p w14:paraId="7E371BAE">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ascii="宋体" w:hAnsi="宋体" w:cs="宋体"/>
          <w:b/>
          <w:color w:val="auto"/>
          <w:sz w:val="24"/>
        </w:rPr>
      </w:pPr>
      <w:r>
        <w:rPr>
          <w:rFonts w:hint="eastAsia" w:ascii="宋体" w:hAnsi="宋体" w:cs="宋体"/>
          <w:b/>
          <w:color w:val="auto"/>
          <w:sz w:val="24"/>
        </w:rPr>
        <w:t>第</w:t>
      </w:r>
      <w:r>
        <w:rPr>
          <w:rFonts w:hint="eastAsia" w:ascii="宋体" w:hAnsi="宋体" w:cs="宋体"/>
          <w:b/>
          <w:color w:val="auto"/>
          <w:sz w:val="24"/>
          <w:lang w:val="en-US" w:eastAsia="zh-CN"/>
        </w:rPr>
        <w:t>七</w:t>
      </w:r>
      <w:r>
        <w:rPr>
          <w:rFonts w:hint="eastAsia" w:ascii="宋体" w:hAnsi="宋体" w:cs="宋体"/>
          <w:b/>
          <w:color w:val="auto"/>
          <w:sz w:val="24"/>
        </w:rPr>
        <w:t xml:space="preserve">条 </w:t>
      </w:r>
      <w:r>
        <w:rPr>
          <w:rFonts w:hint="eastAsia" w:ascii="宋体" w:hAnsi="宋体" w:cs="宋体"/>
          <w:b/>
          <w:color w:val="auto"/>
          <w:sz w:val="24"/>
          <w:lang w:val="en-US" w:eastAsia="zh-CN"/>
        </w:rPr>
        <w:t>服务费标准及</w:t>
      </w:r>
      <w:r>
        <w:rPr>
          <w:rFonts w:hint="eastAsia" w:ascii="宋体" w:hAnsi="宋体" w:cs="宋体"/>
          <w:b/>
          <w:color w:val="auto"/>
          <w:sz w:val="24"/>
        </w:rPr>
        <w:t>支付</w:t>
      </w:r>
      <w:r>
        <w:rPr>
          <w:rFonts w:hint="eastAsia" w:ascii="宋体" w:hAnsi="宋体" w:cs="宋体"/>
          <w:b/>
          <w:color w:val="auto"/>
          <w:sz w:val="24"/>
          <w:lang w:val="en-US" w:eastAsia="zh-CN"/>
        </w:rPr>
        <w:t>时间、</w:t>
      </w:r>
      <w:r>
        <w:rPr>
          <w:rFonts w:hint="eastAsia" w:ascii="宋体" w:hAnsi="宋体" w:cs="宋体"/>
          <w:b/>
          <w:color w:val="auto"/>
          <w:sz w:val="24"/>
        </w:rPr>
        <w:t>方式</w:t>
      </w:r>
    </w:p>
    <w:p w14:paraId="51AA620D">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ascii="宋体" w:hAnsi="宋体"/>
          <w:color w:val="auto"/>
          <w:sz w:val="24"/>
        </w:rPr>
      </w:pPr>
      <w:r>
        <w:rPr>
          <w:rFonts w:hint="eastAsia" w:ascii="宋体" w:hAnsi="宋体"/>
          <w:color w:val="auto"/>
          <w:sz w:val="24"/>
          <w:lang w:val="en-US" w:eastAsia="zh-CN"/>
        </w:rPr>
        <w:t>7</w:t>
      </w:r>
      <w:r>
        <w:rPr>
          <w:rFonts w:hint="eastAsia" w:ascii="宋体" w:hAnsi="宋体"/>
          <w:color w:val="auto"/>
          <w:sz w:val="24"/>
        </w:rPr>
        <w:t xml:space="preserve">.1 </w:t>
      </w:r>
      <w:r>
        <w:rPr>
          <w:rFonts w:hint="eastAsia" w:ascii="宋体" w:hAnsi="宋体"/>
          <w:color w:val="auto"/>
          <w:sz w:val="24"/>
          <w:lang w:val="en-US" w:eastAsia="zh-CN"/>
        </w:rPr>
        <w:t>服务费实行总价包干</w:t>
      </w:r>
      <w:r>
        <w:rPr>
          <w:rFonts w:hint="eastAsia" w:ascii="宋体" w:hAnsi="宋体" w:eastAsia="宋体"/>
          <w:color w:val="auto"/>
          <w:sz w:val="24"/>
          <w:lang w:val="en-US" w:eastAsia="zh-CN"/>
        </w:rPr>
        <w:t>，包干总价为人民币</w:t>
      </w:r>
      <w:r>
        <w:rPr>
          <w:rFonts w:hint="eastAsia" w:ascii="宋体" w:hAnsi="宋体" w:eastAsia="宋体"/>
          <w:color w:val="auto"/>
          <w:sz w:val="24"/>
          <w:u w:val="single"/>
          <w:lang w:val="en-US" w:eastAsia="zh-CN"/>
        </w:rPr>
        <w:t xml:space="preserve">       </w:t>
      </w:r>
      <w:r>
        <w:rPr>
          <w:rFonts w:hint="eastAsia" w:ascii="宋体" w:hAnsi="宋体" w:eastAsia="宋体"/>
          <w:color w:val="auto"/>
          <w:sz w:val="24"/>
          <w:lang w:val="en-US" w:eastAsia="zh-CN"/>
        </w:rPr>
        <w:t>元整（小写：</w:t>
      </w:r>
      <w:r>
        <w:rPr>
          <w:rFonts w:hint="eastAsia" w:ascii="宋体" w:hAnsi="宋体" w:eastAsia="宋体"/>
          <w:color w:val="auto"/>
          <w:sz w:val="24"/>
          <w:u w:val="single"/>
          <w:lang w:val="en-US" w:eastAsia="zh-CN"/>
        </w:rPr>
        <w:t xml:space="preserve">     </w:t>
      </w:r>
      <w:r>
        <w:rPr>
          <w:rFonts w:hint="eastAsia" w:ascii="宋体" w:hAnsi="宋体" w:eastAsia="宋体"/>
          <w:color w:val="auto"/>
          <w:sz w:val="24"/>
          <w:lang w:val="en-US" w:eastAsia="zh-CN"/>
        </w:rPr>
        <w:t>元），该服务费包括但不限于本合同第一条约定内容的所有使用费、平台维</w:t>
      </w:r>
      <w:r>
        <w:rPr>
          <w:rFonts w:hint="eastAsia" w:ascii="宋体" w:hAnsi="宋体"/>
          <w:color w:val="auto"/>
          <w:sz w:val="24"/>
        </w:rPr>
        <w:t>护</w:t>
      </w:r>
      <w:r>
        <w:rPr>
          <w:rFonts w:hint="eastAsia" w:ascii="宋体" w:hAnsi="宋体"/>
          <w:color w:val="auto"/>
          <w:sz w:val="24"/>
          <w:lang w:val="en-US" w:eastAsia="zh-CN"/>
        </w:rPr>
        <w:t>费、软件</w:t>
      </w:r>
      <w:r>
        <w:rPr>
          <w:rFonts w:hint="eastAsia" w:ascii="宋体" w:hAnsi="宋体"/>
          <w:color w:val="auto"/>
          <w:sz w:val="24"/>
        </w:rPr>
        <w:t>升级</w:t>
      </w:r>
      <w:r>
        <w:rPr>
          <w:rFonts w:hint="eastAsia" w:ascii="宋体" w:hAnsi="宋体"/>
          <w:color w:val="auto"/>
          <w:sz w:val="24"/>
          <w:lang w:val="en-US" w:eastAsia="zh-CN"/>
        </w:rPr>
        <w:t>费</w:t>
      </w:r>
      <w:r>
        <w:rPr>
          <w:rFonts w:hint="eastAsia" w:ascii="宋体" w:hAnsi="宋体"/>
          <w:color w:val="auto"/>
          <w:sz w:val="24"/>
          <w:lang w:eastAsia="zh-CN"/>
        </w:rPr>
        <w:t>、</w:t>
      </w:r>
      <w:r>
        <w:rPr>
          <w:rFonts w:hint="eastAsia" w:ascii="宋体" w:hAnsi="宋体"/>
          <w:color w:val="auto"/>
          <w:sz w:val="24"/>
          <w:lang w:val="en-US" w:eastAsia="zh-CN"/>
        </w:rPr>
        <w:t>税费</w:t>
      </w:r>
      <w:r>
        <w:rPr>
          <w:rFonts w:hint="eastAsia" w:ascii="宋体" w:hAnsi="宋体"/>
          <w:color w:val="auto"/>
          <w:sz w:val="24"/>
        </w:rPr>
        <w:t>等费用</w:t>
      </w:r>
      <w:r>
        <w:rPr>
          <w:rFonts w:hint="eastAsia" w:ascii="宋体" w:hAnsi="宋体"/>
          <w:color w:val="auto"/>
          <w:sz w:val="24"/>
          <w:lang w:eastAsia="zh-CN"/>
        </w:rPr>
        <w:t>，</w:t>
      </w:r>
      <w:r>
        <w:rPr>
          <w:rFonts w:hint="eastAsia" w:ascii="宋体" w:hAnsi="宋体"/>
          <w:color w:val="auto"/>
          <w:sz w:val="24"/>
          <w:lang w:val="en-US" w:eastAsia="zh-CN"/>
        </w:rPr>
        <w:t>在本合同履行期间，甲方不向乙方支付其他任何费用</w:t>
      </w:r>
      <w:r>
        <w:rPr>
          <w:rFonts w:hint="eastAsia" w:ascii="宋体" w:hAnsi="宋体"/>
          <w:color w:val="auto"/>
          <w:sz w:val="24"/>
        </w:rPr>
        <w:t>。</w:t>
      </w:r>
    </w:p>
    <w:p w14:paraId="761D5DA5">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ascii="宋体" w:hAnsi="宋体" w:eastAsia="宋体" w:cs="Times New Roman"/>
          <w:color w:val="auto"/>
          <w:sz w:val="24"/>
        </w:rPr>
      </w:pPr>
      <w:r>
        <w:rPr>
          <w:rFonts w:hint="eastAsia" w:ascii="宋体" w:hAnsi="宋体"/>
          <w:color w:val="auto"/>
          <w:sz w:val="24"/>
          <w:lang w:val="en-US" w:eastAsia="zh-CN"/>
        </w:rPr>
        <w:t>7</w:t>
      </w:r>
      <w:r>
        <w:rPr>
          <w:rFonts w:hint="eastAsia" w:ascii="宋体" w:hAnsi="宋体"/>
          <w:color w:val="auto"/>
          <w:sz w:val="24"/>
        </w:rPr>
        <w:t xml:space="preserve">.2 </w:t>
      </w:r>
      <w:r>
        <w:rPr>
          <w:rFonts w:hint="eastAsia" w:ascii="宋体" w:hAnsi="宋体"/>
          <w:color w:val="auto"/>
          <w:sz w:val="24"/>
          <w:lang w:val="en-US" w:eastAsia="zh-CN"/>
        </w:rPr>
        <w:t>服务费分</w:t>
      </w:r>
      <w:r>
        <w:rPr>
          <w:rFonts w:hint="eastAsia" w:ascii="宋体" w:hAnsi="宋体"/>
          <w:color w:val="auto"/>
          <w:sz w:val="24"/>
          <w:u w:val="single"/>
          <w:lang w:val="en-US" w:eastAsia="zh-CN"/>
        </w:rPr>
        <w:t xml:space="preserve"> 3 </w:t>
      </w:r>
      <w:r>
        <w:rPr>
          <w:rFonts w:hint="eastAsia" w:ascii="宋体" w:hAnsi="宋体"/>
          <w:color w:val="auto"/>
          <w:sz w:val="24"/>
          <w:lang w:val="en-US" w:eastAsia="zh-CN"/>
        </w:rPr>
        <w:t>笔由甲方通过银行转账方式支付给乙方，</w:t>
      </w:r>
      <w:r>
        <w:rPr>
          <w:rFonts w:hint="eastAsia" w:ascii="宋体" w:hAnsi="宋体" w:eastAsia="宋体" w:cs="Times New Roman"/>
          <w:color w:val="auto"/>
          <w:sz w:val="24"/>
          <w:lang w:val="en-US" w:eastAsia="zh-CN"/>
        </w:rPr>
        <w:t>在第一合同年度期限届满之日起</w:t>
      </w:r>
      <w:r>
        <w:rPr>
          <w:rFonts w:hint="eastAsia" w:ascii="宋体" w:hAnsi="宋体" w:eastAsia="宋体" w:cs="Times New Roman"/>
          <w:color w:val="auto"/>
          <w:sz w:val="24"/>
          <w:u w:val="single"/>
          <w:lang w:val="en-US" w:eastAsia="zh-CN"/>
        </w:rPr>
        <w:t xml:space="preserve"> 30 </w:t>
      </w:r>
      <w:r>
        <w:rPr>
          <w:rFonts w:hint="eastAsia" w:ascii="宋体" w:hAnsi="宋体" w:eastAsia="宋体" w:cs="Times New Roman"/>
          <w:color w:val="auto"/>
          <w:sz w:val="24"/>
          <w:lang w:val="en-US" w:eastAsia="zh-CN"/>
        </w:rPr>
        <w:t>日内，甲方向乙方支付服务费总金额</w:t>
      </w:r>
      <w:r>
        <w:rPr>
          <w:rFonts w:hint="eastAsia" w:ascii="宋体" w:hAnsi="宋体" w:cs="Times New Roman"/>
          <w:color w:val="auto"/>
          <w:sz w:val="24"/>
          <w:lang w:val="en-US" w:eastAsia="zh-CN"/>
        </w:rPr>
        <w:t>的1/3</w:t>
      </w:r>
      <w:r>
        <w:rPr>
          <w:rFonts w:hint="eastAsia" w:ascii="宋体" w:hAnsi="宋体" w:eastAsia="宋体" w:cs="Times New Roman"/>
          <w:color w:val="auto"/>
          <w:sz w:val="24"/>
          <w:lang w:val="en-US" w:eastAsia="zh-CN"/>
        </w:rPr>
        <w:t>；在第</w:t>
      </w:r>
      <w:r>
        <w:rPr>
          <w:rFonts w:hint="eastAsia" w:ascii="宋体" w:hAnsi="宋体" w:cs="Times New Roman"/>
          <w:color w:val="auto"/>
          <w:sz w:val="24"/>
          <w:lang w:val="en-US" w:eastAsia="zh-CN"/>
        </w:rPr>
        <w:t>二</w:t>
      </w:r>
      <w:r>
        <w:rPr>
          <w:rFonts w:hint="eastAsia" w:ascii="宋体" w:hAnsi="宋体" w:eastAsia="宋体" w:cs="Times New Roman"/>
          <w:color w:val="auto"/>
          <w:sz w:val="24"/>
          <w:lang w:val="en-US" w:eastAsia="zh-CN"/>
        </w:rPr>
        <w:t>合同年度期限届满之日起</w:t>
      </w:r>
      <w:r>
        <w:rPr>
          <w:rFonts w:hint="eastAsia" w:ascii="宋体" w:hAnsi="宋体" w:eastAsia="宋体" w:cs="Times New Roman"/>
          <w:color w:val="auto"/>
          <w:sz w:val="24"/>
          <w:u w:val="single"/>
          <w:lang w:val="en-US" w:eastAsia="zh-CN"/>
        </w:rPr>
        <w:t xml:space="preserve"> 30 </w:t>
      </w:r>
      <w:r>
        <w:rPr>
          <w:rFonts w:hint="eastAsia" w:ascii="宋体" w:hAnsi="宋体" w:eastAsia="宋体" w:cs="Times New Roman"/>
          <w:color w:val="auto"/>
          <w:sz w:val="24"/>
          <w:lang w:val="en-US" w:eastAsia="zh-CN"/>
        </w:rPr>
        <w:t>日内，甲方向乙方支付服务费总金额的</w:t>
      </w:r>
      <w:r>
        <w:rPr>
          <w:rFonts w:hint="eastAsia" w:ascii="宋体" w:hAnsi="宋体" w:cs="Times New Roman"/>
          <w:color w:val="auto"/>
          <w:sz w:val="24"/>
          <w:lang w:val="en-US" w:eastAsia="zh-CN"/>
        </w:rPr>
        <w:t>1/3；</w:t>
      </w:r>
      <w:r>
        <w:rPr>
          <w:rFonts w:hint="eastAsia" w:ascii="宋体" w:hAnsi="宋体" w:eastAsia="宋体" w:cs="Times New Roman"/>
          <w:color w:val="auto"/>
          <w:sz w:val="24"/>
          <w:lang w:val="en-US" w:eastAsia="zh-CN"/>
        </w:rPr>
        <w:t>甲方在本合同期限届满之日起</w:t>
      </w:r>
      <w:r>
        <w:rPr>
          <w:rFonts w:hint="eastAsia" w:ascii="宋体" w:hAnsi="宋体" w:eastAsia="宋体" w:cs="Times New Roman"/>
          <w:color w:val="auto"/>
          <w:sz w:val="24"/>
          <w:u w:val="single"/>
          <w:lang w:val="en-US" w:eastAsia="zh-CN"/>
        </w:rPr>
        <w:t xml:space="preserve"> 30 </w:t>
      </w:r>
      <w:r>
        <w:rPr>
          <w:rFonts w:hint="eastAsia" w:ascii="宋体" w:hAnsi="宋体" w:eastAsia="宋体" w:cs="Times New Roman"/>
          <w:color w:val="auto"/>
          <w:sz w:val="24"/>
          <w:lang w:val="en-US" w:eastAsia="zh-CN"/>
        </w:rPr>
        <w:t>日内将余款</w:t>
      </w:r>
      <w:r>
        <w:rPr>
          <w:rFonts w:hint="eastAsia" w:ascii="宋体" w:hAnsi="宋体" w:cs="Times New Roman"/>
          <w:color w:val="0000FF"/>
          <w:sz w:val="24"/>
          <w:lang w:val="en-US" w:eastAsia="zh-CN"/>
        </w:rPr>
        <w:t>免息</w:t>
      </w:r>
      <w:r>
        <w:rPr>
          <w:rFonts w:hint="eastAsia" w:ascii="宋体" w:hAnsi="宋体" w:eastAsia="宋体" w:cs="Times New Roman"/>
          <w:color w:val="auto"/>
          <w:sz w:val="24"/>
          <w:lang w:val="en-US" w:eastAsia="zh-CN"/>
        </w:rPr>
        <w:t>付清给乙方。</w:t>
      </w:r>
    </w:p>
    <w:p w14:paraId="5CED0F80">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cs="Times New Roman"/>
          <w:color w:val="auto"/>
          <w:kern w:val="2"/>
          <w:sz w:val="24"/>
          <w:szCs w:val="24"/>
          <w:lang w:val="en-US" w:eastAsia="zh-CN" w:bidi="ar-SA"/>
        </w:rPr>
        <w:t>7</w:t>
      </w:r>
      <w:r>
        <w:rPr>
          <w:rFonts w:hint="eastAsia" w:ascii="宋体" w:hAnsi="宋体" w:eastAsia="宋体" w:cs="Times New Roman"/>
          <w:color w:val="auto"/>
          <w:kern w:val="2"/>
          <w:sz w:val="24"/>
          <w:szCs w:val="24"/>
          <w:lang w:val="en-US" w:eastAsia="zh-CN" w:bidi="ar-SA"/>
        </w:rPr>
        <w:t>.3 乙方指定收款账户信息：</w:t>
      </w:r>
    </w:p>
    <w:p w14:paraId="7D6A4C0B">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right="0" w:rightChars="0" w:firstLine="480" w:firstLineChars="200"/>
        <w:textAlignment w:val="auto"/>
        <w:outlineLvl w:val="1"/>
        <w:rPr>
          <w:rFonts w:hint="default" w:ascii="宋体" w:hAnsi="宋体" w:eastAsia="宋体" w:cs="宋体"/>
          <w:bCs/>
          <w:color w:val="000000" w:themeColor="text1"/>
          <w:sz w:val="24"/>
          <w:lang w:val="en-US" w:eastAsia="zh-CN"/>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开户名</w:t>
      </w:r>
      <w:r>
        <w:rPr>
          <w:rFonts w:hint="eastAsia" w:ascii="宋体" w:hAnsi="宋体" w:eastAsia="宋体" w:cs="宋体"/>
          <w:color w:val="000000" w:themeColor="text1"/>
          <w:sz w:val="24"/>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 xml:space="preserve"> </w:t>
      </w:r>
    </w:p>
    <w:p w14:paraId="248F9635">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right="0" w:rightChars="0" w:firstLine="480" w:firstLineChars="200"/>
        <w:textAlignment w:val="auto"/>
        <w:outlineLvl w:val="1"/>
        <w:rPr>
          <w:rFonts w:hint="default"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开户银行：</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cs="宋体"/>
          <w:bCs/>
          <w:color w:val="000000" w:themeColor="text1"/>
          <w:sz w:val="24"/>
          <w:lang w:val="en-US" w:eastAsia="zh-CN"/>
          <w14:textFill>
            <w14:solidFill>
              <w14:schemeClr w14:val="tx1"/>
            </w14:solidFill>
          </w14:textFill>
        </w:rPr>
        <w:t xml:space="preserve">   </w:t>
      </w:r>
    </w:p>
    <w:p w14:paraId="5CD33B09">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ascii="宋体" w:hAnsi="宋体" w:eastAsia="宋体" w:cs="Times New Roman"/>
          <w:color w:val="FF0000"/>
          <w:kern w:val="2"/>
          <w:sz w:val="24"/>
        </w:rPr>
      </w:pPr>
      <w:r>
        <w:rPr>
          <w:rFonts w:hint="eastAsia" w:ascii="宋体" w:hAnsi="宋体" w:eastAsia="宋体" w:cs="宋体"/>
          <w:bCs/>
          <w:color w:val="000000" w:themeColor="text1"/>
          <w:sz w:val="24"/>
          <w:lang w:eastAsia="zh-CN"/>
          <w14:textFill>
            <w14:solidFill>
              <w14:schemeClr w14:val="tx1"/>
            </w14:solidFill>
          </w14:textFill>
        </w:rPr>
        <w:t>银行账号</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p>
    <w:p w14:paraId="6B0D4E6B">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b/>
          <w:bCs/>
          <w:color w:val="0000FF"/>
          <w:sz w:val="24"/>
          <w:u w:val="none"/>
          <w:lang w:val="en-US" w:eastAsia="zh-CN"/>
        </w:rPr>
      </w:pPr>
      <w:r>
        <w:rPr>
          <w:rFonts w:hint="eastAsia"/>
          <w:color w:val="auto"/>
          <w:sz w:val="24"/>
          <w:lang w:val="en-US" w:eastAsia="zh-CN"/>
        </w:rPr>
        <w:t>7</w:t>
      </w:r>
      <w:r>
        <w:rPr>
          <w:rFonts w:hint="eastAsia"/>
          <w:color w:val="auto"/>
          <w:sz w:val="24"/>
        </w:rPr>
        <w:t>.4 乙方应在甲方</w:t>
      </w:r>
      <w:r>
        <w:rPr>
          <w:rFonts w:hint="eastAsia"/>
          <w:color w:val="auto"/>
          <w:sz w:val="24"/>
          <w:lang w:val="en-US" w:eastAsia="zh-CN"/>
        </w:rPr>
        <w:t>每次付款</w:t>
      </w:r>
      <w:r>
        <w:rPr>
          <w:rFonts w:hint="eastAsia"/>
          <w:color w:val="auto"/>
          <w:sz w:val="24"/>
        </w:rPr>
        <w:t>前</w:t>
      </w:r>
      <w:r>
        <w:rPr>
          <w:rFonts w:hint="eastAsia"/>
          <w:color w:val="auto"/>
          <w:sz w:val="24"/>
          <w:lang w:val="en-US" w:eastAsia="zh-CN"/>
        </w:rPr>
        <w:t>向甲方提供</w:t>
      </w:r>
      <w:r>
        <w:rPr>
          <w:rFonts w:hint="eastAsia"/>
          <w:color w:val="auto"/>
          <w:sz w:val="24"/>
        </w:rPr>
        <w:t>以自己名义开具的对应</w:t>
      </w:r>
      <w:r>
        <w:rPr>
          <w:rFonts w:hint="eastAsia"/>
          <w:color w:val="auto"/>
          <w:sz w:val="24"/>
          <w:lang w:eastAsia="zh-CN"/>
        </w:rPr>
        <w:t>金额</w:t>
      </w:r>
      <w:r>
        <w:rPr>
          <w:rFonts w:hint="eastAsia"/>
          <w:color w:val="auto"/>
          <w:sz w:val="24"/>
        </w:rPr>
        <w:t>增值税普通发票；如因乙方未及时提供发票导致甲方逾期支付，甲方</w:t>
      </w:r>
      <w:r>
        <w:rPr>
          <w:rFonts w:hint="eastAsia"/>
          <w:color w:val="auto"/>
          <w:sz w:val="24"/>
          <w:lang w:val="en-US" w:eastAsia="zh-CN"/>
        </w:rPr>
        <w:t>有权顺延付款期限</w:t>
      </w:r>
      <w:r>
        <w:rPr>
          <w:rFonts w:hint="eastAsia"/>
          <w:color w:val="auto"/>
          <w:sz w:val="24"/>
        </w:rPr>
        <w:t>。</w:t>
      </w:r>
    </w:p>
    <w:p w14:paraId="75C405E1">
      <w:pPr>
        <w:pStyle w:val="17"/>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hint="eastAsia"/>
          <w:b/>
          <w:bCs/>
          <w:color w:val="0000FF"/>
          <w:sz w:val="24"/>
          <w:u w:val="none"/>
          <w:lang w:val="en-US" w:eastAsia="zh-CN"/>
        </w:rPr>
      </w:pPr>
      <w:r>
        <w:rPr>
          <w:rFonts w:hint="eastAsia"/>
          <w:b/>
          <w:bCs/>
          <w:color w:val="0000FF"/>
          <w:sz w:val="24"/>
          <w:u w:val="none"/>
          <w:lang w:val="en-US" w:eastAsia="zh-CN"/>
        </w:rPr>
        <w:t>第八条 廉洁条款</w:t>
      </w:r>
    </w:p>
    <w:p w14:paraId="69A1B73D">
      <w:pPr>
        <w:pStyle w:val="17"/>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hint="eastAsia"/>
          <w:b/>
          <w:bCs/>
          <w:color w:val="0000FF"/>
          <w:sz w:val="24"/>
          <w:u w:val="none"/>
          <w:lang w:val="en-US" w:eastAsia="zh-CN"/>
        </w:rPr>
      </w:pPr>
      <w:r>
        <w:rPr>
          <w:rFonts w:hint="eastAsia"/>
          <w:b/>
          <w:bCs/>
          <w:color w:val="0000FF"/>
          <w:sz w:val="24"/>
          <w:u w:val="none"/>
          <w:lang w:val="en-US" w:eastAsia="zh-CN"/>
        </w:rPr>
        <w:t>8.1 乙方应严格遵守国家相关法律法规，涉及合同的有关业务活动必须坚持公开、公平、公正、诚信原则，不得为获取不正当利益，损害国家、集体和甲方利益。</w:t>
      </w:r>
    </w:p>
    <w:p w14:paraId="2E11B338">
      <w:pPr>
        <w:pStyle w:val="17"/>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hint="eastAsia"/>
          <w:b/>
          <w:bCs/>
          <w:color w:val="0000FF"/>
          <w:sz w:val="24"/>
          <w:u w:val="single"/>
          <w:lang w:val="en-US" w:eastAsia="zh-CN"/>
        </w:rPr>
      </w:pPr>
      <w:r>
        <w:rPr>
          <w:rFonts w:hint="eastAsia"/>
          <w:b/>
          <w:bCs/>
          <w:color w:val="0000FF"/>
          <w:sz w:val="24"/>
          <w:u w:val="single"/>
          <w:lang w:val="en-US" w:eastAsia="zh-CN"/>
        </w:rPr>
        <w:t>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679B215">
      <w:pPr>
        <w:pStyle w:val="17"/>
        <w:keepNext w:val="0"/>
        <w:keepLines w:val="0"/>
        <w:pageBreakBefore w:val="0"/>
        <w:widowControl w:val="0"/>
        <w:kinsoku/>
        <w:wordWrap/>
        <w:overflowPunct/>
        <w:topLinePunct w:val="0"/>
        <w:autoSpaceDE/>
        <w:bidi w:val="0"/>
        <w:spacing w:line="480" w:lineRule="exact"/>
        <w:ind w:right="0" w:rightChars="0" w:firstLine="482" w:firstLineChars="200"/>
        <w:textAlignment w:val="auto"/>
        <w:rPr>
          <w:b/>
          <w:bCs/>
          <w:color w:val="auto"/>
          <w:sz w:val="24"/>
        </w:rPr>
      </w:pPr>
      <w:r>
        <w:rPr>
          <w:rFonts w:hint="eastAsia"/>
          <w:b/>
          <w:bCs/>
          <w:color w:val="auto"/>
          <w:sz w:val="24"/>
        </w:rPr>
        <w:t>第</w:t>
      </w:r>
      <w:r>
        <w:rPr>
          <w:rFonts w:hint="eastAsia"/>
          <w:b/>
          <w:bCs/>
          <w:color w:val="auto"/>
          <w:sz w:val="24"/>
          <w:lang w:val="en-US" w:eastAsia="zh-CN"/>
        </w:rPr>
        <w:t>九</w:t>
      </w:r>
      <w:r>
        <w:rPr>
          <w:rFonts w:hint="eastAsia"/>
          <w:b/>
          <w:bCs/>
          <w:color w:val="auto"/>
          <w:sz w:val="24"/>
        </w:rPr>
        <w:t>条 通知与送达</w:t>
      </w:r>
    </w:p>
    <w:p w14:paraId="35500183">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r>
        <w:rPr>
          <w:rFonts w:hint="eastAsia"/>
          <w:color w:val="auto"/>
          <w:sz w:val="24"/>
          <w:lang w:val="en-US" w:eastAsia="zh-CN"/>
        </w:rPr>
        <w:t>9.1</w:t>
      </w:r>
      <w:r>
        <w:rPr>
          <w:rFonts w:hint="eastAsia"/>
          <w:color w:val="auto"/>
          <w:sz w:val="24"/>
        </w:rPr>
        <w:t>甲乙双方同意，与本合同有关的任何文书，应以书面方式送达本合同约定的联系方式。书面形式包括手机短信、微信、书面函件、电子邮件等形式。</w:t>
      </w:r>
    </w:p>
    <w:p w14:paraId="34AC05A8">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r>
        <w:rPr>
          <w:rFonts w:hint="eastAsia"/>
          <w:color w:val="auto"/>
          <w:sz w:val="24"/>
          <w:lang w:val="en-US" w:eastAsia="zh-CN"/>
        </w:rPr>
        <w:t>9.2</w:t>
      </w:r>
      <w:r>
        <w:rPr>
          <w:rFonts w:hint="eastAsia"/>
          <w:color w:val="auto"/>
          <w:sz w:val="24"/>
        </w:rPr>
        <w:t>双方确认的文书（包括未来可能发生的诉讼或仲裁活动中法院或仲裁机构的送达法律文书）送达地址：</w:t>
      </w:r>
    </w:p>
    <w:p w14:paraId="7DE977A4">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r>
        <w:rPr>
          <w:rFonts w:hint="eastAsia"/>
          <w:color w:val="auto"/>
          <w:sz w:val="24"/>
          <w:lang w:val="en-US" w:eastAsia="zh-CN"/>
        </w:rPr>
        <w:t>9.2.1</w:t>
      </w:r>
      <w:r>
        <w:rPr>
          <w:rFonts w:hint="eastAsia"/>
          <w:color w:val="auto"/>
          <w:sz w:val="24"/>
        </w:rPr>
        <w:t>甲方的文书送达地址：</w:t>
      </w:r>
      <w:r>
        <w:rPr>
          <w:rFonts w:hint="eastAsia"/>
          <w:color w:val="auto"/>
          <w:sz w:val="24"/>
          <w:u w:val="single"/>
        </w:rPr>
        <w:t xml:space="preserve"> </w:t>
      </w:r>
      <w:r>
        <w:rPr>
          <w:rFonts w:hint="eastAsia"/>
          <w:color w:val="auto"/>
          <w:sz w:val="24"/>
          <w:u w:val="single"/>
          <w:lang w:eastAsia="zh-CN"/>
        </w:rPr>
        <w:t>娄底市中心医院科研科</w:t>
      </w:r>
      <w:r>
        <w:rPr>
          <w:rFonts w:hint="eastAsia"/>
          <w:color w:val="auto"/>
          <w:sz w:val="24"/>
          <w:u w:val="single"/>
        </w:rPr>
        <w:t xml:space="preserve"> </w:t>
      </w:r>
      <w:r>
        <w:rPr>
          <w:rFonts w:hint="eastAsia"/>
          <w:color w:val="auto"/>
          <w:sz w:val="24"/>
          <w:lang w:eastAsia="zh-CN"/>
        </w:rPr>
        <w:t>，</w:t>
      </w:r>
      <w:r>
        <w:rPr>
          <w:rFonts w:hint="eastAsia"/>
          <w:color w:val="auto"/>
          <w:sz w:val="24"/>
        </w:rPr>
        <w:t>收件人：</w:t>
      </w:r>
      <w:r>
        <w:rPr>
          <w:rFonts w:hint="eastAsia"/>
          <w:color w:val="auto"/>
          <w:sz w:val="24"/>
          <w:u w:val="single"/>
        </w:rPr>
        <w:t xml:space="preserve"> </w:t>
      </w:r>
      <w:r>
        <w:rPr>
          <w:rFonts w:hint="eastAsia"/>
          <w:color w:val="auto"/>
          <w:sz w:val="24"/>
          <w:u w:val="single"/>
          <w:lang w:eastAsia="zh-CN"/>
        </w:rPr>
        <w:t>周琪</w:t>
      </w:r>
      <w:r>
        <w:rPr>
          <w:rFonts w:hint="eastAsia"/>
          <w:color w:val="auto"/>
          <w:sz w:val="24"/>
          <w:u w:val="single"/>
        </w:rPr>
        <w:t xml:space="preserve"> </w:t>
      </w:r>
      <w:r>
        <w:rPr>
          <w:rFonts w:hint="eastAsia"/>
          <w:color w:val="auto"/>
          <w:sz w:val="24"/>
        </w:rPr>
        <w:t>，联系电话：</w:t>
      </w:r>
      <w:r>
        <w:rPr>
          <w:rFonts w:hint="eastAsia"/>
          <w:color w:val="auto"/>
          <w:sz w:val="24"/>
          <w:u w:val="single"/>
        </w:rPr>
        <w:t xml:space="preserve"> </w:t>
      </w:r>
      <w:r>
        <w:rPr>
          <w:rFonts w:hint="eastAsia"/>
          <w:color w:val="auto"/>
          <w:sz w:val="24"/>
          <w:u w:val="single"/>
          <w:lang w:val="en-US" w:eastAsia="zh-CN"/>
        </w:rPr>
        <w:t>15576368596</w:t>
      </w:r>
      <w:r>
        <w:rPr>
          <w:rFonts w:hint="eastAsia"/>
          <w:color w:val="auto"/>
          <w:sz w:val="24"/>
          <w:u w:val="single"/>
        </w:rPr>
        <w:t xml:space="preserve"> </w:t>
      </w:r>
      <w:r>
        <w:rPr>
          <w:rFonts w:hint="eastAsia"/>
          <w:color w:val="auto"/>
          <w:sz w:val="24"/>
        </w:rPr>
        <w:t>，电子邮箱：</w:t>
      </w:r>
      <w:r>
        <w:rPr>
          <w:rFonts w:hint="eastAsia"/>
          <w:color w:val="auto"/>
          <w:sz w:val="24"/>
          <w:u w:val="single"/>
        </w:rPr>
        <w:t xml:space="preserve"> </w:t>
      </w:r>
      <w:r>
        <w:rPr>
          <w:rFonts w:hint="eastAsia"/>
          <w:color w:val="auto"/>
          <w:sz w:val="24"/>
          <w:u w:val="single"/>
          <w:lang w:val="en-US" w:eastAsia="zh-CN"/>
        </w:rPr>
        <w:t>ldzxyy8527606@163.com</w:t>
      </w:r>
      <w:r>
        <w:rPr>
          <w:rFonts w:hint="eastAsia"/>
          <w:color w:val="auto"/>
          <w:sz w:val="24"/>
          <w:u w:val="single"/>
        </w:rPr>
        <w:t xml:space="preserve">  </w:t>
      </w:r>
      <w:r>
        <w:rPr>
          <w:rFonts w:hint="eastAsia"/>
          <w:color w:val="auto"/>
          <w:sz w:val="24"/>
        </w:rPr>
        <w:t>。</w:t>
      </w:r>
    </w:p>
    <w:p w14:paraId="14587AC6">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r>
        <w:rPr>
          <w:rFonts w:hint="eastAsia"/>
          <w:color w:val="auto"/>
          <w:sz w:val="24"/>
          <w:lang w:val="en-US" w:eastAsia="zh-CN"/>
        </w:rPr>
        <w:t>9.2.2</w:t>
      </w:r>
      <w:r>
        <w:rPr>
          <w:rFonts w:hint="eastAsia"/>
          <w:color w:val="auto"/>
          <w:sz w:val="24"/>
        </w:rPr>
        <w:t>乙方的文书送达地址：</w:t>
      </w:r>
      <w:r>
        <w:rPr>
          <w:rFonts w:hint="eastAsia"/>
          <w:color w:val="auto"/>
          <w:sz w:val="24"/>
          <w:u w:val="single"/>
        </w:rPr>
        <w:t xml:space="preserve">    </w:t>
      </w:r>
      <w:r>
        <w:rPr>
          <w:rFonts w:hint="eastAsia"/>
          <w:color w:val="auto"/>
          <w:sz w:val="24"/>
          <w:u w:val="single"/>
          <w:lang w:val="en-US" w:eastAsia="zh-CN"/>
        </w:rPr>
        <w:t xml:space="preserve">   </w:t>
      </w:r>
      <w:r>
        <w:rPr>
          <w:rFonts w:hint="eastAsia"/>
          <w:color w:val="auto"/>
          <w:sz w:val="24"/>
          <w:u w:val="single"/>
        </w:rPr>
        <w:t xml:space="preserve">   </w:t>
      </w:r>
      <w:r>
        <w:rPr>
          <w:rFonts w:hint="eastAsia"/>
          <w:color w:val="auto"/>
          <w:sz w:val="24"/>
          <w:lang w:eastAsia="zh-CN"/>
        </w:rPr>
        <w:t>，</w:t>
      </w:r>
      <w:r>
        <w:rPr>
          <w:rFonts w:hint="eastAsia"/>
          <w:color w:val="auto"/>
          <w:sz w:val="24"/>
        </w:rPr>
        <w:t>收件人：</w:t>
      </w:r>
      <w:r>
        <w:rPr>
          <w:rFonts w:hint="eastAsia"/>
          <w:color w:val="auto"/>
          <w:sz w:val="24"/>
          <w:u w:val="single"/>
        </w:rPr>
        <w:t xml:space="preserve">       </w:t>
      </w:r>
      <w:r>
        <w:rPr>
          <w:rFonts w:hint="eastAsia"/>
          <w:color w:val="auto"/>
          <w:sz w:val="24"/>
        </w:rPr>
        <w:t>，联系电话：</w:t>
      </w:r>
      <w:r>
        <w:rPr>
          <w:rFonts w:hint="eastAsia"/>
          <w:color w:val="auto"/>
          <w:sz w:val="24"/>
          <w:u w:val="single"/>
        </w:rPr>
        <w:t xml:space="preserve">  </w:t>
      </w:r>
      <w:r>
        <w:rPr>
          <w:rFonts w:hint="eastAsia"/>
          <w:color w:val="auto"/>
          <w:sz w:val="24"/>
        </w:rPr>
        <w:t>，电子邮箱：</w:t>
      </w:r>
      <w:r>
        <w:rPr>
          <w:rFonts w:hint="eastAsia"/>
          <w:color w:val="auto"/>
          <w:sz w:val="24"/>
          <w:u w:val="single"/>
        </w:rPr>
        <w:t xml:space="preserve">           </w:t>
      </w:r>
      <w:r>
        <w:rPr>
          <w:rFonts w:hint="eastAsia"/>
          <w:color w:val="auto"/>
          <w:sz w:val="24"/>
        </w:rPr>
        <w:t>。</w:t>
      </w:r>
    </w:p>
    <w:p w14:paraId="1D6E0DDE">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r>
        <w:rPr>
          <w:rFonts w:hint="eastAsia"/>
          <w:color w:val="auto"/>
          <w:sz w:val="24"/>
          <w:lang w:val="en-US" w:eastAsia="zh-CN"/>
        </w:rPr>
        <w:t>9.3</w:t>
      </w:r>
      <w:r>
        <w:rPr>
          <w:rFonts w:hint="eastAsia"/>
          <w:color w:val="auto"/>
          <w:sz w:val="24"/>
        </w:rPr>
        <w:t>上述通知应被视为在下列时间送达：以快递或专人发送的，在收件人签收之日或拒收之日；以挂号邮件发出的，在发出之日起7个工作日；以电子邮件发出的，在电子邮件进入收件方电子邮箱服务器之日。</w:t>
      </w:r>
    </w:p>
    <w:p w14:paraId="5E5EEF54">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r>
        <w:rPr>
          <w:rFonts w:hint="eastAsia"/>
          <w:color w:val="auto"/>
          <w:sz w:val="24"/>
          <w:lang w:val="en-US" w:eastAsia="zh-CN"/>
        </w:rPr>
        <w:t>9.4</w:t>
      </w:r>
      <w:r>
        <w:rPr>
          <w:rFonts w:hint="eastAsia"/>
          <w:color w:val="auto"/>
          <w:sz w:val="24"/>
        </w:rPr>
        <w:t>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14:paraId="4628629C">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b/>
          <w:bCs/>
          <w:color w:val="auto"/>
          <w:sz w:val="24"/>
        </w:rPr>
      </w:pPr>
      <w:r>
        <w:rPr>
          <w:rFonts w:hint="eastAsia"/>
          <w:b/>
          <w:bCs/>
          <w:color w:val="auto"/>
          <w:sz w:val="24"/>
        </w:rPr>
        <w:t>第</w:t>
      </w:r>
      <w:r>
        <w:rPr>
          <w:rFonts w:hint="eastAsia"/>
          <w:b/>
          <w:bCs/>
          <w:color w:val="auto"/>
          <w:sz w:val="24"/>
          <w:lang w:val="en-US" w:eastAsia="zh-CN"/>
        </w:rPr>
        <w:t>十</w:t>
      </w:r>
      <w:r>
        <w:rPr>
          <w:rFonts w:hint="eastAsia"/>
          <w:b/>
          <w:bCs/>
          <w:color w:val="auto"/>
          <w:sz w:val="24"/>
        </w:rPr>
        <w:t xml:space="preserve">条 </w:t>
      </w:r>
      <w:r>
        <w:rPr>
          <w:rFonts w:hint="eastAsia"/>
          <w:b/>
          <w:bCs/>
          <w:color w:val="auto"/>
          <w:sz w:val="24"/>
          <w:lang w:val="en-US" w:eastAsia="zh-CN"/>
        </w:rPr>
        <w:t>合同解除</w:t>
      </w:r>
    </w:p>
    <w:p w14:paraId="4C30583B">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r>
        <w:rPr>
          <w:rFonts w:hint="eastAsia"/>
          <w:color w:val="auto"/>
          <w:sz w:val="24"/>
          <w:lang w:val="en-US" w:eastAsia="zh-CN"/>
        </w:rPr>
        <w:t>10</w:t>
      </w:r>
      <w:r>
        <w:rPr>
          <w:rFonts w:hint="eastAsia"/>
          <w:color w:val="auto"/>
          <w:sz w:val="24"/>
        </w:rPr>
        <w:t>.1 甲方经试用期使用认为乙方提供的服务无法达到验收标准的，</w:t>
      </w:r>
      <w:r>
        <w:rPr>
          <w:rFonts w:hint="eastAsia"/>
          <w:color w:val="auto"/>
          <w:sz w:val="24"/>
          <w:lang w:val="en-US" w:eastAsia="zh-CN"/>
        </w:rPr>
        <w:t>甲方</w:t>
      </w:r>
      <w:r>
        <w:rPr>
          <w:rFonts w:hint="eastAsia"/>
          <w:color w:val="auto"/>
          <w:sz w:val="24"/>
        </w:rPr>
        <w:t>有权</w:t>
      </w:r>
      <w:r>
        <w:rPr>
          <w:rFonts w:hint="eastAsia"/>
          <w:color w:val="auto"/>
          <w:sz w:val="24"/>
          <w:lang w:val="en-US" w:eastAsia="zh-CN"/>
        </w:rPr>
        <w:t>通知乙方</w:t>
      </w:r>
      <w:r>
        <w:rPr>
          <w:rFonts w:hint="eastAsia"/>
          <w:color w:val="auto"/>
          <w:sz w:val="24"/>
        </w:rPr>
        <w:t>单方面解除</w:t>
      </w:r>
      <w:r>
        <w:rPr>
          <w:rFonts w:hint="eastAsia"/>
          <w:color w:val="auto"/>
          <w:sz w:val="24"/>
          <w:lang w:val="en-US" w:eastAsia="zh-CN"/>
        </w:rPr>
        <w:t>本</w:t>
      </w:r>
      <w:r>
        <w:rPr>
          <w:rFonts w:hint="eastAsia"/>
          <w:color w:val="auto"/>
          <w:sz w:val="24"/>
        </w:rPr>
        <w:t>合同，</w:t>
      </w:r>
      <w:r>
        <w:rPr>
          <w:rFonts w:hint="eastAsia"/>
          <w:color w:val="auto"/>
          <w:sz w:val="24"/>
          <w:lang w:val="en-US" w:eastAsia="zh-CN"/>
        </w:rPr>
        <w:t>且</w:t>
      </w:r>
      <w:r>
        <w:rPr>
          <w:rFonts w:hint="eastAsia"/>
          <w:color w:val="auto"/>
          <w:sz w:val="24"/>
        </w:rPr>
        <w:t>无需就试用期使用支付任何费用。</w:t>
      </w:r>
    </w:p>
    <w:p w14:paraId="350EDE82">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lang w:val="en-US" w:eastAsia="zh-CN"/>
        </w:rPr>
      </w:pPr>
      <w:r>
        <w:rPr>
          <w:rFonts w:hint="eastAsia"/>
          <w:color w:val="0000FF"/>
          <w:sz w:val="24"/>
          <w:lang w:val="en-US" w:eastAsia="zh-CN"/>
        </w:rPr>
        <w:t>10.2 如乙方出现下列情形之一时，甲方可以单方解除合同：</w:t>
      </w:r>
    </w:p>
    <w:p w14:paraId="4785AFAF">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default"/>
          <w:color w:val="auto"/>
          <w:sz w:val="24"/>
          <w:lang w:val="en-US" w:eastAsia="zh-CN"/>
        </w:rPr>
      </w:pPr>
      <w:r>
        <w:rPr>
          <w:rFonts w:hint="eastAsia"/>
          <w:color w:val="auto"/>
          <w:sz w:val="24"/>
          <w:lang w:val="en-US" w:eastAsia="zh-CN"/>
        </w:rPr>
        <w:t>10.2.1</w:t>
      </w:r>
      <w:r>
        <w:rPr>
          <w:rFonts w:hint="eastAsia"/>
          <w:color w:val="FF0000"/>
          <w:sz w:val="24"/>
          <w:lang w:val="en-US" w:eastAsia="zh-CN"/>
        </w:rPr>
        <w:t>本合同履行期间，</w:t>
      </w:r>
      <w:r>
        <w:rPr>
          <w:rFonts w:hint="eastAsia"/>
          <w:color w:val="auto"/>
          <w:sz w:val="24"/>
          <w:lang w:val="en-US" w:eastAsia="zh-CN"/>
        </w:rPr>
        <w:t>如乙方提供的平台服务不符合本合同第一条约定</w:t>
      </w:r>
      <w:r>
        <w:rPr>
          <w:rFonts w:hint="eastAsia"/>
          <w:color w:val="FF0000"/>
          <w:sz w:val="24"/>
          <w:lang w:val="en-US" w:eastAsia="zh-CN"/>
        </w:rPr>
        <w:t>基本服务</w:t>
      </w:r>
      <w:r>
        <w:rPr>
          <w:rFonts w:hint="eastAsia"/>
          <w:color w:val="auto"/>
          <w:sz w:val="24"/>
          <w:lang w:val="en-US" w:eastAsia="zh-CN"/>
        </w:rPr>
        <w:t>要求</w:t>
      </w:r>
      <w:r>
        <w:rPr>
          <w:rFonts w:hint="eastAsia"/>
          <w:color w:val="FF0000"/>
          <w:sz w:val="24"/>
          <w:lang w:val="en-US" w:eastAsia="zh-CN"/>
        </w:rPr>
        <w:t>累计</w:t>
      </w:r>
      <w:r>
        <w:rPr>
          <w:rFonts w:hint="eastAsia"/>
          <w:color w:val="auto"/>
          <w:sz w:val="24"/>
          <w:lang w:val="en-US" w:eastAsia="zh-CN"/>
        </w:rPr>
        <w:t>达</w:t>
      </w:r>
      <w:r>
        <w:rPr>
          <w:rFonts w:hint="eastAsia"/>
          <w:color w:val="auto"/>
          <w:sz w:val="24"/>
          <w:u w:val="single"/>
          <w:lang w:val="en-US" w:eastAsia="zh-CN"/>
        </w:rPr>
        <w:t xml:space="preserve"> 5 </w:t>
      </w:r>
      <w:r>
        <w:rPr>
          <w:rFonts w:hint="eastAsia"/>
          <w:color w:val="auto"/>
          <w:sz w:val="24"/>
          <w:lang w:val="en-US" w:eastAsia="zh-CN"/>
        </w:rPr>
        <w:t>项以</w:t>
      </w:r>
      <w:r>
        <w:rPr>
          <w:rFonts w:hint="eastAsia"/>
          <w:color w:val="FF0000"/>
          <w:sz w:val="24"/>
          <w:lang w:val="en-US" w:eastAsia="zh-CN"/>
        </w:rPr>
        <w:t>上</w:t>
      </w:r>
      <w:r>
        <w:rPr>
          <w:rFonts w:hint="eastAsia"/>
          <w:color w:val="auto"/>
          <w:sz w:val="24"/>
          <w:lang w:val="en-US" w:eastAsia="zh-CN"/>
        </w:rPr>
        <w:t>时，经甲方催告仍未改正的；</w:t>
      </w:r>
    </w:p>
    <w:p w14:paraId="66638E47">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default"/>
          <w:color w:val="auto"/>
          <w:sz w:val="24"/>
          <w:lang w:val="en-US" w:eastAsia="zh-CN"/>
        </w:rPr>
      </w:pPr>
      <w:r>
        <w:rPr>
          <w:rFonts w:hint="eastAsia"/>
          <w:color w:val="0000FF"/>
          <w:sz w:val="24"/>
          <w:lang w:val="en-US" w:eastAsia="zh-CN"/>
        </w:rPr>
        <w:t>10.2.2 甲方因使用乙方平台或乙方平台收录作品侵犯第三方合法权益，导致第三方向甲方主张权利的。</w:t>
      </w:r>
    </w:p>
    <w:p w14:paraId="0AE4290D">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eastAsia="宋体"/>
          <w:color w:val="auto"/>
          <w:sz w:val="24"/>
          <w:lang w:val="en-US" w:eastAsia="zh-CN"/>
        </w:rPr>
      </w:pPr>
      <w:r>
        <w:rPr>
          <w:rFonts w:hint="eastAsia"/>
          <w:color w:val="auto"/>
          <w:sz w:val="24"/>
          <w:lang w:val="en-US" w:eastAsia="zh-CN"/>
        </w:rPr>
        <w:t>10.3</w:t>
      </w:r>
      <w:r>
        <w:rPr>
          <w:rFonts w:hint="eastAsia"/>
          <w:color w:val="auto"/>
          <w:sz w:val="24"/>
        </w:rPr>
        <w:t>除前款约定外，甲乙双方</w:t>
      </w:r>
      <w:r>
        <w:rPr>
          <w:rFonts w:hint="eastAsia"/>
          <w:color w:val="auto"/>
          <w:sz w:val="24"/>
          <w:lang w:val="en-US" w:eastAsia="zh-CN"/>
        </w:rPr>
        <w:t>任何一方</w:t>
      </w:r>
      <w:r>
        <w:rPr>
          <w:rFonts w:hint="eastAsia"/>
          <w:color w:val="auto"/>
          <w:sz w:val="24"/>
        </w:rPr>
        <w:t>均不得</w:t>
      </w:r>
      <w:r>
        <w:rPr>
          <w:rFonts w:hint="eastAsia"/>
          <w:color w:val="auto"/>
          <w:sz w:val="24"/>
          <w:lang w:val="en-US" w:eastAsia="zh-CN"/>
        </w:rPr>
        <w:t>擅自</w:t>
      </w:r>
      <w:r>
        <w:rPr>
          <w:rFonts w:hint="eastAsia"/>
          <w:color w:val="auto"/>
          <w:sz w:val="24"/>
        </w:rPr>
        <w:t>单方解除</w:t>
      </w:r>
      <w:r>
        <w:rPr>
          <w:rFonts w:hint="eastAsia"/>
          <w:color w:val="auto"/>
          <w:sz w:val="24"/>
          <w:lang w:val="en-US" w:eastAsia="zh-CN"/>
        </w:rPr>
        <w:t>本</w:t>
      </w:r>
      <w:r>
        <w:rPr>
          <w:rFonts w:hint="eastAsia"/>
          <w:color w:val="auto"/>
          <w:sz w:val="24"/>
        </w:rPr>
        <w:t>合同</w:t>
      </w:r>
      <w:r>
        <w:rPr>
          <w:rFonts w:hint="eastAsia"/>
          <w:color w:val="auto"/>
          <w:sz w:val="24"/>
          <w:lang w:eastAsia="zh-CN"/>
        </w:rPr>
        <w:t>。</w:t>
      </w:r>
    </w:p>
    <w:p w14:paraId="2077C7A1">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b/>
          <w:bCs/>
          <w:color w:val="auto"/>
          <w:sz w:val="24"/>
        </w:rPr>
      </w:pPr>
      <w:r>
        <w:rPr>
          <w:rFonts w:hint="eastAsia" w:ascii="Times New Roman" w:hAnsi="Times New Roman" w:eastAsia="宋体" w:cs="Times New Roman"/>
          <w:b/>
          <w:bCs/>
          <w:color w:val="auto"/>
          <w:sz w:val="24"/>
          <w:lang w:val="en-US" w:eastAsia="zh-CN"/>
        </w:rPr>
        <w:t>第十</w:t>
      </w:r>
      <w:r>
        <w:rPr>
          <w:rFonts w:hint="eastAsia" w:cs="Times New Roman"/>
          <w:b/>
          <w:bCs/>
          <w:color w:val="auto"/>
          <w:sz w:val="24"/>
          <w:lang w:val="en-US" w:eastAsia="zh-CN"/>
        </w:rPr>
        <w:t>一</w:t>
      </w:r>
      <w:r>
        <w:rPr>
          <w:rFonts w:hint="eastAsia" w:ascii="Times New Roman" w:hAnsi="Times New Roman" w:eastAsia="宋体" w:cs="Times New Roman"/>
          <w:b/>
          <w:bCs/>
          <w:color w:val="auto"/>
          <w:sz w:val="24"/>
          <w:lang w:val="en-US" w:eastAsia="zh-CN"/>
        </w:rPr>
        <w:t xml:space="preserve">条 </w:t>
      </w:r>
      <w:r>
        <w:rPr>
          <w:rFonts w:hint="eastAsia" w:ascii="Times New Roman" w:hAnsi="Times New Roman" w:eastAsia="宋体" w:cs="Times New Roman"/>
          <w:b/>
          <w:bCs/>
          <w:color w:val="auto"/>
          <w:sz w:val="24"/>
        </w:rPr>
        <w:t>违约责任</w:t>
      </w:r>
    </w:p>
    <w:p w14:paraId="124D0D0D">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default"/>
          <w:color w:val="0000FF"/>
          <w:sz w:val="24"/>
          <w:lang w:val="en-US" w:eastAsia="zh-CN"/>
        </w:rPr>
      </w:pPr>
      <w:r>
        <w:rPr>
          <w:rFonts w:hint="eastAsia"/>
          <w:color w:val="0000FF"/>
          <w:sz w:val="24"/>
          <w:lang w:val="en-US" w:eastAsia="zh-CN"/>
        </w:rPr>
        <w:t>11.1 乙方未按本合同约定向甲方提供服务，每逾期一日，乙方除赔偿甲方由此造成的经济损失外，还应向甲方支付违约金</w:t>
      </w:r>
      <w:r>
        <w:rPr>
          <w:rFonts w:hint="eastAsia"/>
          <w:color w:val="0000FF"/>
          <w:sz w:val="24"/>
          <w:u w:val="single"/>
          <w:lang w:val="en-US" w:eastAsia="zh-CN"/>
        </w:rPr>
        <w:t xml:space="preserve"> 700.00 </w:t>
      </w:r>
      <w:r>
        <w:rPr>
          <w:rFonts w:hint="eastAsia"/>
          <w:color w:val="0000FF"/>
          <w:sz w:val="24"/>
          <w:lang w:val="en-US" w:eastAsia="zh-CN"/>
        </w:rPr>
        <w:t>元。</w:t>
      </w:r>
    </w:p>
    <w:p w14:paraId="2E3FD5C0">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lang w:val="en-US" w:eastAsia="zh-CN"/>
        </w:rPr>
      </w:pPr>
      <w:r>
        <w:rPr>
          <w:rFonts w:hint="eastAsia"/>
          <w:color w:val="auto"/>
          <w:sz w:val="24"/>
          <w:lang w:val="en-US" w:eastAsia="zh-CN"/>
        </w:rPr>
        <w:t xml:space="preserve">11.2 </w:t>
      </w:r>
      <w:r>
        <w:rPr>
          <w:rFonts w:hint="eastAsia"/>
          <w:color w:val="0000FF"/>
          <w:sz w:val="24"/>
          <w:lang w:val="en-US" w:eastAsia="zh-CN"/>
        </w:rPr>
        <w:t>如乙方单方面解除合同</w:t>
      </w:r>
      <w:r>
        <w:rPr>
          <w:rFonts w:hint="eastAsia"/>
          <w:color w:val="auto"/>
          <w:sz w:val="24"/>
          <w:lang w:val="en-US" w:eastAsia="zh-CN"/>
        </w:rPr>
        <w:t>或甲方因本合同10.2情形解除合同，乙方除赔偿甲方由此产生的全部经济损失</w:t>
      </w:r>
      <w:r>
        <w:rPr>
          <w:rFonts w:hint="eastAsia"/>
          <w:color w:val="0000FF"/>
          <w:sz w:val="24"/>
          <w:lang w:val="en-US" w:eastAsia="zh-CN"/>
        </w:rPr>
        <w:t>和经济赔偿责任</w:t>
      </w:r>
      <w:r>
        <w:rPr>
          <w:rFonts w:hint="eastAsia"/>
          <w:color w:val="auto"/>
          <w:sz w:val="24"/>
          <w:lang w:val="en-US" w:eastAsia="zh-CN"/>
        </w:rPr>
        <w:t>外，还应按</w:t>
      </w:r>
      <w:r>
        <w:rPr>
          <w:rFonts w:hint="eastAsia"/>
          <w:color w:val="0000FF"/>
          <w:sz w:val="24"/>
          <w:lang w:val="en-US" w:eastAsia="zh-CN"/>
        </w:rPr>
        <w:t>合同总额的30%</w:t>
      </w:r>
      <w:r>
        <w:rPr>
          <w:rFonts w:hint="eastAsia"/>
          <w:color w:val="auto"/>
          <w:sz w:val="24"/>
          <w:lang w:val="en-US" w:eastAsia="zh-CN"/>
        </w:rPr>
        <w:t>向甲方支付违约金。</w:t>
      </w:r>
    </w:p>
    <w:p w14:paraId="728B60C7">
      <w:pPr>
        <w:keepNext w:val="0"/>
        <w:keepLines w:val="0"/>
        <w:pageBreakBefore w:val="0"/>
        <w:widowControl w:val="0"/>
        <w:kinsoku/>
        <w:wordWrap/>
        <w:overflowPunct/>
        <w:topLinePunct w:val="0"/>
        <w:autoSpaceDE/>
        <w:bidi w:val="0"/>
        <w:spacing w:line="480" w:lineRule="exact"/>
        <w:ind w:right="0" w:rightChars="0" w:firstLine="482" w:firstLineChars="200"/>
        <w:textAlignment w:val="auto"/>
        <w:rPr>
          <w:rFonts w:hint="default" w:ascii="Times New Roman" w:hAnsi="Times New Roman" w:eastAsia="宋体" w:cs="Times New Roman"/>
          <w:b/>
          <w:bCs/>
          <w:color w:val="0000FF"/>
          <w:sz w:val="24"/>
          <w:u w:val="single"/>
          <w:lang w:val="en-US" w:eastAsia="zh-CN"/>
        </w:rPr>
      </w:pPr>
      <w:r>
        <w:rPr>
          <w:rFonts w:hint="eastAsia" w:ascii="Times New Roman" w:hAnsi="Times New Roman" w:eastAsia="宋体" w:cs="Times New Roman"/>
          <w:b/>
          <w:bCs/>
          <w:color w:val="0000FF"/>
          <w:sz w:val="24"/>
          <w:u w:val="single"/>
          <w:lang w:val="en-US" w:eastAsia="zh-CN"/>
        </w:rPr>
        <w:t>11.3 无论甲方在任意时候（不限于本合同履行期间）发现存在违反本合同廉洁条款的行为，乙方均须向甲方一次性支付惩罚性违约金24700.00元。如乙方除需承担违反廉洁条款的违约责任外，同时存在其他违约行为，乙方仍须就其他违约行为承担相应违约责任。</w:t>
      </w:r>
    </w:p>
    <w:p w14:paraId="6725BB1E">
      <w:pPr>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default"/>
          <w:color w:val="FF0000"/>
          <w:sz w:val="24"/>
          <w:lang w:val="en-US" w:eastAsia="zh-CN"/>
        </w:rPr>
      </w:pPr>
      <w:r>
        <w:rPr>
          <w:rFonts w:hint="eastAsia"/>
          <w:color w:val="FF0000"/>
          <w:sz w:val="24"/>
          <w:lang w:val="en-US" w:eastAsia="zh-CN"/>
        </w:rPr>
        <w:t>11.4 如甲方因使用乙方平台或乙方平台收录作品侵犯第三方合法权益，导致第三方向甲方主张权利，甲方因此产生的全部损失和经济赔偿责任，包括但不限于赔偿款、补偿款、诉讼费、律师费及调查取证费用等全部由乙方承担。</w:t>
      </w:r>
    </w:p>
    <w:p w14:paraId="354FBA6C">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FF0000"/>
          <w:sz w:val="24"/>
          <w:lang w:val="en-US" w:eastAsia="zh-CN"/>
        </w:rPr>
      </w:pPr>
      <w:r>
        <w:rPr>
          <w:rFonts w:hint="eastAsia"/>
          <w:color w:val="FF0000"/>
          <w:sz w:val="24"/>
          <w:lang w:val="en-US" w:eastAsia="zh-CN"/>
        </w:rPr>
        <w:t>11.5 乙方违反本合同约定应承担的经济损失等费用和违约金，甲方有权从乙方的任一款项中优先扣除。</w:t>
      </w:r>
    </w:p>
    <w:p w14:paraId="00987D76">
      <w:pPr>
        <w:pStyle w:val="17"/>
        <w:keepNext w:val="0"/>
        <w:keepLines w:val="0"/>
        <w:pageBreakBefore w:val="0"/>
        <w:widowControl w:val="0"/>
        <w:kinsoku/>
        <w:wordWrap/>
        <w:overflowPunct/>
        <w:topLinePunct w:val="0"/>
        <w:autoSpaceDE/>
        <w:bidi w:val="0"/>
        <w:spacing w:line="480" w:lineRule="exact"/>
        <w:ind w:right="0" w:rightChars="0" w:firstLine="482" w:firstLineChars="200"/>
        <w:textAlignment w:val="auto"/>
        <w:rPr>
          <w:b/>
          <w:bCs/>
          <w:color w:val="auto"/>
          <w:sz w:val="24"/>
        </w:rPr>
      </w:pPr>
      <w:r>
        <w:rPr>
          <w:rFonts w:hint="eastAsia"/>
          <w:b/>
          <w:bCs/>
          <w:color w:val="auto"/>
          <w:sz w:val="24"/>
        </w:rPr>
        <w:t>第十</w:t>
      </w:r>
      <w:r>
        <w:rPr>
          <w:rFonts w:hint="eastAsia"/>
          <w:b/>
          <w:bCs/>
          <w:color w:val="auto"/>
          <w:sz w:val="24"/>
          <w:lang w:val="en-US" w:eastAsia="zh-CN"/>
        </w:rPr>
        <w:t>二</w:t>
      </w:r>
      <w:r>
        <w:rPr>
          <w:rFonts w:hint="eastAsia"/>
          <w:b/>
          <w:bCs/>
          <w:color w:val="auto"/>
          <w:sz w:val="24"/>
        </w:rPr>
        <w:t>条 争议解决</w:t>
      </w:r>
    </w:p>
    <w:p w14:paraId="14DFAF4F">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color w:val="auto"/>
          <w:sz w:val="24"/>
        </w:rPr>
      </w:pPr>
      <w:r>
        <w:rPr>
          <w:rFonts w:hint="eastAsia"/>
          <w:color w:val="auto"/>
          <w:sz w:val="24"/>
        </w:rPr>
        <w:t>本合同履行中发生的争议，双方应先协商解决，协商不成的，任意一方可向甲方所在地</w:t>
      </w:r>
      <w:r>
        <w:rPr>
          <w:rFonts w:hint="eastAsia"/>
          <w:color w:val="auto"/>
          <w:sz w:val="24"/>
          <w:lang w:val="en-US" w:eastAsia="zh-CN"/>
        </w:rPr>
        <w:t>有管辖权的</w:t>
      </w:r>
      <w:r>
        <w:rPr>
          <w:rFonts w:hint="eastAsia"/>
          <w:color w:val="auto"/>
          <w:sz w:val="24"/>
        </w:rPr>
        <w:t>人民法院提起诉讼</w:t>
      </w:r>
      <w:r>
        <w:rPr>
          <w:rFonts w:hint="eastAsia"/>
          <w:color w:val="auto"/>
          <w:sz w:val="24"/>
          <w:lang w:val="en-US" w:eastAsia="zh-CN"/>
        </w:rPr>
        <w:t>解决</w:t>
      </w:r>
      <w:r>
        <w:rPr>
          <w:rFonts w:hint="eastAsia"/>
          <w:color w:val="auto"/>
          <w:sz w:val="24"/>
        </w:rPr>
        <w:t>。</w:t>
      </w:r>
    </w:p>
    <w:p w14:paraId="7C0E2452">
      <w:pPr>
        <w:pStyle w:val="17"/>
        <w:keepNext w:val="0"/>
        <w:keepLines w:val="0"/>
        <w:pageBreakBefore w:val="0"/>
        <w:widowControl w:val="0"/>
        <w:kinsoku/>
        <w:wordWrap/>
        <w:overflowPunct/>
        <w:topLinePunct w:val="0"/>
        <w:autoSpaceDE/>
        <w:bidi w:val="0"/>
        <w:spacing w:line="480" w:lineRule="exact"/>
        <w:ind w:right="0" w:rightChars="0" w:firstLine="482" w:firstLineChars="200"/>
        <w:textAlignment w:val="auto"/>
        <w:rPr>
          <w:b/>
          <w:bCs/>
          <w:color w:val="auto"/>
          <w:sz w:val="24"/>
        </w:rPr>
      </w:pPr>
      <w:r>
        <w:rPr>
          <w:rFonts w:hint="eastAsia"/>
          <w:b/>
          <w:bCs/>
          <w:color w:val="auto"/>
          <w:sz w:val="24"/>
        </w:rPr>
        <w:t>第十</w:t>
      </w:r>
      <w:r>
        <w:rPr>
          <w:rFonts w:hint="eastAsia"/>
          <w:b/>
          <w:bCs/>
          <w:color w:val="auto"/>
          <w:sz w:val="24"/>
          <w:lang w:val="en-US" w:eastAsia="zh-CN"/>
        </w:rPr>
        <w:t>三</w:t>
      </w:r>
      <w:r>
        <w:rPr>
          <w:rFonts w:hint="eastAsia"/>
          <w:b/>
          <w:bCs/>
          <w:color w:val="auto"/>
          <w:sz w:val="24"/>
        </w:rPr>
        <w:t>条 附则</w:t>
      </w:r>
    </w:p>
    <w:p w14:paraId="3EA5EF60">
      <w:pPr>
        <w:pStyle w:val="17"/>
        <w:keepNext w:val="0"/>
        <w:keepLines w:val="0"/>
        <w:pageBreakBefore w:val="0"/>
        <w:widowControl w:val="0"/>
        <w:numPr>
          <w:ilvl w:val="255"/>
          <w:numId w:val="0"/>
        </w:numPr>
        <w:kinsoku/>
        <w:wordWrap/>
        <w:overflowPunct/>
        <w:topLinePunct w:val="0"/>
        <w:autoSpaceDE/>
        <w:bidi w:val="0"/>
        <w:spacing w:line="480" w:lineRule="exact"/>
        <w:ind w:right="0" w:rightChars="0" w:firstLine="480" w:firstLineChars="200"/>
        <w:textAlignment w:val="auto"/>
        <w:rPr>
          <w:color w:val="auto"/>
          <w:sz w:val="24"/>
        </w:rPr>
      </w:pPr>
      <w:r>
        <w:rPr>
          <w:rFonts w:hint="eastAsia"/>
          <w:color w:val="auto"/>
          <w:sz w:val="24"/>
        </w:rPr>
        <w:t>1</w:t>
      </w:r>
      <w:r>
        <w:rPr>
          <w:rFonts w:hint="eastAsia"/>
          <w:color w:val="auto"/>
          <w:sz w:val="24"/>
          <w:lang w:val="en-US" w:eastAsia="zh-CN"/>
        </w:rPr>
        <w:t>3</w:t>
      </w:r>
      <w:r>
        <w:rPr>
          <w:rFonts w:hint="eastAsia"/>
          <w:color w:val="auto"/>
          <w:sz w:val="24"/>
        </w:rPr>
        <w:t>.1 本合同未尽事宜，双方可另行签订补充协议。</w:t>
      </w:r>
    </w:p>
    <w:p w14:paraId="2065E632">
      <w:pPr>
        <w:pStyle w:val="17"/>
        <w:keepNext w:val="0"/>
        <w:keepLines w:val="0"/>
        <w:pageBreakBefore w:val="0"/>
        <w:widowControl w:val="0"/>
        <w:numPr>
          <w:ilvl w:val="255"/>
          <w:numId w:val="0"/>
        </w:numPr>
        <w:kinsoku/>
        <w:wordWrap/>
        <w:overflowPunct/>
        <w:topLinePunct w:val="0"/>
        <w:autoSpaceDE/>
        <w:bidi w:val="0"/>
        <w:spacing w:line="480" w:lineRule="exact"/>
        <w:ind w:right="0" w:rightChars="0" w:firstLine="480" w:firstLineChars="200"/>
        <w:textAlignment w:val="auto"/>
        <w:rPr>
          <w:color w:val="0000FF"/>
          <w:sz w:val="24"/>
        </w:rPr>
      </w:pPr>
      <w:r>
        <w:rPr>
          <w:rFonts w:hint="eastAsia"/>
          <w:color w:val="auto"/>
          <w:sz w:val="24"/>
        </w:rPr>
        <w:t>1</w:t>
      </w:r>
      <w:r>
        <w:rPr>
          <w:rFonts w:hint="eastAsia"/>
          <w:color w:val="auto"/>
          <w:sz w:val="24"/>
          <w:lang w:val="en-US" w:eastAsia="zh-CN"/>
        </w:rPr>
        <w:t>3</w:t>
      </w:r>
      <w:r>
        <w:rPr>
          <w:rFonts w:hint="eastAsia"/>
          <w:color w:val="auto"/>
          <w:sz w:val="24"/>
        </w:rPr>
        <w:t>.2 组成本合同的文件及优先解释顺序如下：</w:t>
      </w:r>
      <w:r>
        <w:rPr>
          <w:rFonts w:hint="eastAsia"/>
          <w:color w:val="0000FF"/>
          <w:sz w:val="24"/>
          <w:lang w:eastAsia="zh-CN"/>
        </w:rPr>
        <w:t>乙方在履行本合同中作出的书面承诺；</w:t>
      </w:r>
      <w:r>
        <w:rPr>
          <w:rFonts w:hint="eastAsia"/>
          <w:color w:val="0000FF"/>
          <w:sz w:val="24"/>
        </w:rPr>
        <w:t>本合同补充协议；本合同及附件；</w:t>
      </w:r>
      <w:r>
        <w:rPr>
          <w:rFonts w:hint="eastAsia"/>
          <w:color w:val="0000FF"/>
          <w:sz w:val="24"/>
          <w:lang w:eastAsia="zh-CN"/>
        </w:rPr>
        <w:t>中标通知书</w:t>
      </w:r>
      <w:r>
        <w:rPr>
          <w:rFonts w:hint="eastAsia"/>
          <w:color w:val="0000FF"/>
          <w:sz w:val="24"/>
          <w:lang w:val="en-US" w:eastAsia="zh-CN"/>
        </w:rPr>
        <w:t>/成交通知书/</w:t>
      </w:r>
      <w:r>
        <w:rPr>
          <w:rFonts w:hint="eastAsia"/>
          <w:color w:val="0000FF"/>
          <w:sz w:val="24"/>
        </w:rPr>
        <w:t>议价结果公示</w:t>
      </w:r>
      <w:r>
        <w:rPr>
          <w:rFonts w:hint="eastAsia"/>
          <w:color w:val="0000FF"/>
          <w:sz w:val="24"/>
          <w:lang w:val="en-US" w:eastAsia="zh-CN"/>
        </w:rPr>
        <w:t>/成交公告</w:t>
      </w:r>
      <w:r>
        <w:rPr>
          <w:rFonts w:hint="eastAsia"/>
          <w:color w:val="0000FF"/>
          <w:sz w:val="24"/>
        </w:rPr>
        <w:t>；</w:t>
      </w:r>
      <w:r>
        <w:rPr>
          <w:rFonts w:hint="eastAsia"/>
          <w:color w:val="0000FF"/>
          <w:sz w:val="24"/>
          <w:lang w:eastAsia="zh-CN"/>
        </w:rPr>
        <w:t>投标文件</w:t>
      </w:r>
      <w:r>
        <w:rPr>
          <w:rFonts w:hint="eastAsia"/>
          <w:color w:val="0000FF"/>
          <w:sz w:val="24"/>
          <w:lang w:val="en-US" w:eastAsia="zh-CN"/>
        </w:rPr>
        <w:t>/</w:t>
      </w:r>
      <w:r>
        <w:rPr>
          <w:rFonts w:hint="eastAsia"/>
          <w:color w:val="0000FF"/>
          <w:sz w:val="24"/>
        </w:rPr>
        <w:t>响应文件；</w:t>
      </w:r>
      <w:r>
        <w:rPr>
          <w:rFonts w:hint="eastAsia"/>
          <w:color w:val="0000FF"/>
          <w:sz w:val="24"/>
          <w:lang w:eastAsia="zh-CN"/>
        </w:rPr>
        <w:t>招标文件</w:t>
      </w:r>
      <w:r>
        <w:rPr>
          <w:rFonts w:hint="eastAsia"/>
          <w:color w:val="0000FF"/>
          <w:sz w:val="24"/>
          <w:lang w:val="en-US" w:eastAsia="zh-CN"/>
        </w:rPr>
        <w:t>/</w:t>
      </w:r>
      <w:r>
        <w:rPr>
          <w:rFonts w:hint="eastAsia"/>
          <w:color w:val="0000FF"/>
          <w:sz w:val="24"/>
        </w:rPr>
        <w:t>采购文件</w:t>
      </w:r>
      <w:r>
        <w:rPr>
          <w:rFonts w:hint="eastAsia"/>
          <w:color w:val="0000FF"/>
          <w:sz w:val="24"/>
          <w:lang w:val="en-US" w:eastAsia="zh-CN"/>
        </w:rPr>
        <w:t>/采购需求</w:t>
      </w:r>
      <w:r>
        <w:rPr>
          <w:rFonts w:hint="eastAsia"/>
          <w:color w:val="0000FF"/>
          <w:sz w:val="24"/>
        </w:rPr>
        <w:t>；其他与本合同有关的资料。</w:t>
      </w:r>
    </w:p>
    <w:p w14:paraId="1C32B7BA">
      <w:pPr>
        <w:pStyle w:val="17"/>
        <w:keepNext w:val="0"/>
        <w:keepLines w:val="0"/>
        <w:pageBreakBefore w:val="0"/>
        <w:widowControl w:val="0"/>
        <w:numPr>
          <w:ilvl w:val="255"/>
          <w:numId w:val="0"/>
        </w:numPr>
        <w:kinsoku/>
        <w:wordWrap/>
        <w:overflowPunct/>
        <w:topLinePunct w:val="0"/>
        <w:autoSpaceDE/>
        <w:bidi w:val="0"/>
        <w:spacing w:line="480" w:lineRule="exact"/>
        <w:ind w:right="0" w:rightChars="0" w:firstLine="480" w:firstLineChars="200"/>
        <w:textAlignment w:val="auto"/>
        <w:rPr>
          <w:color w:val="auto"/>
          <w:sz w:val="24"/>
        </w:rPr>
      </w:pPr>
      <w:r>
        <w:rPr>
          <w:rFonts w:hint="eastAsia"/>
          <w:color w:val="auto"/>
          <w:sz w:val="24"/>
        </w:rPr>
        <w:t>1</w:t>
      </w:r>
      <w:r>
        <w:rPr>
          <w:rFonts w:hint="eastAsia"/>
          <w:color w:val="auto"/>
          <w:sz w:val="24"/>
          <w:lang w:val="en-US" w:eastAsia="zh-CN"/>
        </w:rPr>
        <w:t>3</w:t>
      </w:r>
      <w:r>
        <w:rPr>
          <w:rFonts w:hint="eastAsia"/>
          <w:color w:val="auto"/>
          <w:sz w:val="24"/>
        </w:rPr>
        <w:t>.3 本协议一式伍份，甲方执叁份，乙方执贰份，自双方签字</w:t>
      </w:r>
      <w:r>
        <w:rPr>
          <w:rFonts w:hint="eastAsia"/>
          <w:color w:val="auto"/>
          <w:sz w:val="24"/>
          <w:lang w:val="en-US" w:eastAsia="zh-CN"/>
        </w:rPr>
        <w:t>并</w:t>
      </w:r>
      <w:r>
        <w:rPr>
          <w:rFonts w:hint="eastAsia"/>
          <w:color w:val="auto"/>
          <w:sz w:val="24"/>
        </w:rPr>
        <w:t>盖章之日起生效。</w:t>
      </w:r>
    </w:p>
    <w:p w14:paraId="01B31C24">
      <w:pPr>
        <w:pStyle w:val="17"/>
        <w:keepNext w:val="0"/>
        <w:keepLines w:val="0"/>
        <w:pageBreakBefore w:val="0"/>
        <w:widowControl w:val="0"/>
        <w:kinsoku/>
        <w:wordWrap/>
        <w:overflowPunct/>
        <w:topLinePunct w:val="0"/>
        <w:autoSpaceDE/>
        <w:bidi w:val="0"/>
        <w:spacing w:line="480" w:lineRule="exact"/>
        <w:ind w:right="0" w:rightChars="0" w:firstLine="480" w:firstLineChars="200"/>
        <w:textAlignment w:val="auto"/>
        <w:rPr>
          <w:rFonts w:hint="eastAsia"/>
          <w:color w:val="auto"/>
          <w:sz w:val="24"/>
        </w:rPr>
      </w:pPr>
    </w:p>
    <w:p w14:paraId="3A6AE8D9">
      <w:pPr>
        <w:keepNext w:val="0"/>
        <w:keepLines w:val="0"/>
        <w:pageBreakBefore w:val="0"/>
        <w:widowControl w:val="0"/>
        <w:kinsoku/>
        <w:wordWrap/>
        <w:overflowPunct/>
        <w:topLinePunct w:val="0"/>
        <w:autoSpaceDE/>
        <w:autoSpaceDN w:val="0"/>
        <w:bidi w:val="0"/>
        <w:adjustRightInd/>
        <w:snapToGrid/>
        <w:spacing w:beforeAutospacing="0" w:afterAutospacing="0" w:line="480" w:lineRule="exact"/>
        <w:ind w:right="0" w:rightChars="0" w:firstLine="480" w:firstLineChars="200"/>
        <w:textAlignment w:val="auto"/>
        <w:rPr>
          <w:rFonts w:hint="eastAsia" w:ascii="宋体" w:hAnsi="宋体"/>
          <w:color w:val="000000" w:themeColor="text1"/>
          <w:sz w:val="24"/>
          <w:u w:val="none"/>
          <w14:textFill>
            <w14:solidFill>
              <w14:schemeClr w14:val="tx1"/>
            </w14:solidFill>
          </w14:textFill>
        </w:rPr>
      </w:pPr>
      <w:r>
        <w:rPr>
          <w:rFonts w:hint="eastAsia" w:ascii="宋体" w:hAnsi="宋体"/>
          <w:color w:val="000000" w:themeColor="text1"/>
          <w:sz w:val="24"/>
          <w14:textFill>
            <w14:solidFill>
              <w14:schemeClr w14:val="tx1"/>
            </w14:solidFill>
          </w14:textFill>
        </w:rPr>
        <w:t>甲方：</w:t>
      </w:r>
      <w:r>
        <w:rPr>
          <w:rFonts w:hint="eastAsia" w:ascii="宋体" w:hAnsi="宋体"/>
          <w:color w:val="000000" w:themeColor="text1"/>
          <w:sz w:val="24"/>
          <w:lang w:eastAsia="zh-CN"/>
          <w14:textFill>
            <w14:solidFill>
              <w14:schemeClr w14:val="tx1"/>
            </w14:solidFill>
          </w14:textFill>
        </w:rPr>
        <w:t>娄底市中心医院</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乙</w:t>
      </w:r>
      <w:r>
        <w:rPr>
          <w:rFonts w:hint="eastAsia" w:ascii="宋体" w:hAnsi="宋体"/>
          <w:color w:val="000000" w:themeColor="text1"/>
          <w:sz w:val="24"/>
          <w14:textFill>
            <w14:solidFill>
              <w14:schemeClr w14:val="tx1"/>
            </w14:solidFill>
          </w14:textFill>
        </w:rPr>
        <w:t>方：</w:t>
      </w:r>
    </w:p>
    <w:p w14:paraId="691E1372">
      <w:pPr>
        <w:keepNext w:val="0"/>
        <w:keepLines w:val="0"/>
        <w:pageBreakBefore w:val="0"/>
        <w:widowControl w:val="0"/>
        <w:kinsoku/>
        <w:wordWrap/>
        <w:overflowPunct/>
        <w:topLinePunct w:val="0"/>
        <w:autoSpaceDE/>
        <w:autoSpaceDN w:val="0"/>
        <w:bidi w:val="0"/>
        <w:adjustRightInd/>
        <w:snapToGrid/>
        <w:spacing w:beforeAutospacing="0" w:afterAutospacing="0" w:line="480" w:lineRule="exact"/>
        <w:ind w:right="0" w:rightChars="0" w:firstLine="480" w:firstLineChars="200"/>
        <w:textAlignment w:val="auto"/>
        <w:rPr>
          <w:rFonts w:hint="eastAsia" w:ascii="宋体" w:hAnsi="宋体"/>
          <w:color w:val="000000" w:themeColor="text1"/>
          <w:sz w:val="24"/>
          <w:u w:val="none"/>
          <w:lang w:eastAsia="zh-CN"/>
          <w14:textFill>
            <w14:solidFill>
              <w14:schemeClr w14:val="tx1"/>
            </w14:solidFill>
          </w14:textFill>
        </w:rPr>
      </w:pPr>
    </w:p>
    <w:p w14:paraId="36FF9161">
      <w:pPr>
        <w:keepNext w:val="0"/>
        <w:keepLines w:val="0"/>
        <w:pageBreakBefore w:val="0"/>
        <w:widowControl w:val="0"/>
        <w:kinsoku/>
        <w:wordWrap/>
        <w:overflowPunct/>
        <w:topLinePunct w:val="0"/>
        <w:autoSpaceDE/>
        <w:autoSpaceDN w:val="0"/>
        <w:bidi w:val="0"/>
        <w:adjustRightInd/>
        <w:snapToGrid/>
        <w:spacing w:beforeAutospacing="0" w:afterAutospacing="0" w:line="480" w:lineRule="exact"/>
        <w:ind w:right="0" w:rightChars="0" w:firstLine="480" w:firstLineChars="200"/>
        <w:textAlignment w:val="auto"/>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法定代表人（签字）：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法定代表人（签字）：</w:t>
      </w:r>
    </w:p>
    <w:p w14:paraId="674BF77F">
      <w:pPr>
        <w:keepNext w:val="0"/>
        <w:keepLines w:val="0"/>
        <w:pageBreakBefore w:val="0"/>
        <w:widowControl w:val="0"/>
        <w:kinsoku/>
        <w:wordWrap/>
        <w:overflowPunct/>
        <w:topLinePunct w:val="0"/>
        <w:autoSpaceDE/>
        <w:autoSpaceDN w:val="0"/>
        <w:bidi w:val="0"/>
        <w:adjustRightInd/>
        <w:snapToGrid/>
        <w:spacing w:beforeAutospacing="0" w:afterAutospacing="0" w:line="480" w:lineRule="exact"/>
        <w:ind w:right="0" w:rightChars="0" w:firstLine="480" w:firstLineChars="200"/>
        <w:textAlignment w:val="auto"/>
        <w:rPr>
          <w:rFonts w:hint="eastAsia" w:ascii="宋体" w:hAnsi="宋体"/>
          <w:color w:val="000000" w:themeColor="text1"/>
          <w:sz w:val="24"/>
          <w:lang w:val="en-US" w:eastAsia="zh-CN"/>
          <w14:textFill>
            <w14:solidFill>
              <w14:schemeClr w14:val="tx1"/>
            </w14:solidFill>
          </w14:textFill>
        </w:rPr>
      </w:pPr>
    </w:p>
    <w:p w14:paraId="767A1CC9">
      <w:pPr>
        <w:keepNext w:val="0"/>
        <w:keepLines w:val="0"/>
        <w:pageBreakBefore w:val="0"/>
        <w:widowControl w:val="0"/>
        <w:kinsoku/>
        <w:wordWrap/>
        <w:overflowPunct/>
        <w:topLinePunct w:val="0"/>
        <w:autoSpaceDE/>
        <w:bidi w:val="0"/>
        <w:adjustRightInd/>
        <w:snapToGrid/>
        <w:spacing w:beforeAutospacing="0" w:afterAutospacing="0" w:line="480" w:lineRule="exact"/>
        <w:ind w:right="0" w:rightChars="0" w:firstLine="480" w:firstLineChars="200"/>
        <w:textAlignment w:val="auto"/>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或委托代理人（签字）：</w:t>
      </w:r>
      <w:r>
        <w:rPr>
          <w:rFonts w:hint="eastAsia"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或委托代理人（签字）：</w:t>
      </w:r>
      <w:r>
        <w:rPr>
          <w:rFonts w:hint="eastAsia" w:ascii="宋体" w:hAnsi="宋体"/>
          <w:color w:val="000000" w:themeColor="text1"/>
          <w:sz w:val="24"/>
          <w14:textFill>
            <w14:solidFill>
              <w14:schemeClr w14:val="tx1"/>
            </w14:solidFill>
          </w14:textFill>
        </w:rPr>
        <w:t xml:space="preserve"> </w:t>
      </w:r>
    </w:p>
    <w:p w14:paraId="2AED84C8">
      <w:pPr>
        <w:keepNext w:val="0"/>
        <w:keepLines w:val="0"/>
        <w:pageBreakBefore w:val="0"/>
        <w:widowControl w:val="0"/>
        <w:kinsoku/>
        <w:wordWrap/>
        <w:overflowPunct/>
        <w:topLinePunct w:val="0"/>
        <w:autoSpaceDE/>
        <w:bidi w:val="0"/>
        <w:adjustRightInd/>
        <w:snapToGrid/>
        <w:spacing w:beforeAutospacing="0" w:afterAutospacing="0" w:line="480" w:lineRule="exact"/>
        <w:ind w:right="0" w:rightChars="0" w:firstLine="480" w:firstLineChars="200"/>
        <w:textAlignment w:val="auto"/>
        <w:rPr>
          <w:rFonts w:hint="eastAsia" w:ascii="宋体" w:hAnsi="宋体"/>
          <w:color w:val="000000" w:themeColor="text1"/>
          <w:sz w:val="24"/>
          <w14:textFill>
            <w14:solidFill>
              <w14:schemeClr w14:val="tx1"/>
            </w14:solidFill>
          </w14:textFill>
        </w:rPr>
      </w:pPr>
    </w:p>
    <w:p w14:paraId="7E4DA61B">
      <w:pPr>
        <w:keepNext w:val="0"/>
        <w:keepLines w:val="0"/>
        <w:pageBreakBefore w:val="0"/>
        <w:widowControl w:val="0"/>
        <w:kinsoku/>
        <w:wordWrap/>
        <w:overflowPunct/>
        <w:topLinePunct w:val="0"/>
        <w:autoSpaceDE/>
        <w:bidi w:val="0"/>
        <w:adjustRightInd/>
        <w:snapToGrid/>
        <w:spacing w:line="480" w:lineRule="exact"/>
        <w:ind w:right="0" w:rightChars="0" w:firstLine="480" w:firstLineChars="200"/>
        <w:textAlignment w:val="auto"/>
        <w:rPr>
          <w:color w:val="auto"/>
          <w:sz w:val="24"/>
        </w:rPr>
      </w:pPr>
      <w:r>
        <w:rPr>
          <w:rFonts w:hint="eastAsia" w:ascii="宋体" w:hAnsi="宋体"/>
          <w:color w:val="000000" w:themeColor="text1"/>
          <w:sz w:val="24"/>
          <w:lang w:val="en-US" w:eastAsia="zh-CN"/>
          <w14:textFill>
            <w14:solidFill>
              <w14:schemeClr w14:val="tx1"/>
            </w14:solidFill>
          </w14:textFill>
        </w:rPr>
        <w:t xml:space="preserve">合同签订地：娄底市娄星区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签订日期：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年</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月</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日</w:t>
      </w:r>
      <w:r>
        <w:rPr>
          <w:rFonts w:hint="eastAsia" w:ascii="宋体" w:hAnsi="宋体"/>
          <w:color w:val="000000" w:themeColor="text1"/>
          <w:sz w:val="24"/>
          <w14:textFill>
            <w14:solidFill>
              <w14:schemeClr w14:val="tx1"/>
            </w14:solidFill>
          </w14:textFill>
        </w:rPr>
        <w:t xml:space="preserve"> </w:t>
      </w:r>
    </w:p>
    <w:p w14:paraId="2658157B">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7BCC3E47">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3A9CDB27">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0080E8F3">
      <w:pPr>
        <w:rPr>
          <w:rFonts w:hint="eastAsia" w:ascii="黑体" w:hAnsi="黑体" w:eastAsia="黑体" w:cs="黑体"/>
          <w:sz w:val="32"/>
          <w:szCs w:val="32"/>
          <w:lang w:val="en-US" w:eastAsia="zh-CN"/>
        </w:rPr>
      </w:pPr>
    </w:p>
    <w:p w14:paraId="2D8BA7C8">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2CC2C481">
      <w:pPr>
        <w:rPr>
          <w:rFonts w:hint="default" w:ascii="宋体" w:hAnsi="宋体" w:eastAsia="宋体" w:cs="宋体"/>
          <w:color w:val="auto"/>
          <w:sz w:val="24"/>
          <w:szCs w:val="24"/>
          <w:lang w:val="en-US" w:eastAsia="zh-CN"/>
        </w:rPr>
      </w:pPr>
    </w:p>
    <w:p w14:paraId="7F7089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14:paraId="548EAA27">
      <w:pPr>
        <w:jc w:val="center"/>
        <w:rPr>
          <w:rFonts w:hint="eastAsia" w:ascii="仿宋" w:hAnsi="仿宋" w:eastAsia="仿宋" w:cs="仿宋"/>
          <w:sz w:val="24"/>
          <w:szCs w:val="24"/>
        </w:rPr>
      </w:pPr>
    </w:p>
    <w:tbl>
      <w:tblPr>
        <w:tblStyle w:val="10"/>
        <w:tblW w:w="9375" w:type="dxa"/>
        <w:tblInd w:w="-176"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585"/>
        <w:gridCol w:w="778"/>
        <w:gridCol w:w="862"/>
        <w:gridCol w:w="6569"/>
        <w:gridCol w:w="581"/>
      </w:tblGrid>
      <w:tr w14:paraId="60DC988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585" w:type="dxa"/>
            <w:tcBorders>
              <w:top w:val="single" w:color="000000" w:sz="4" w:space="0"/>
              <w:left w:val="single" w:color="000000" w:sz="4" w:space="0"/>
              <w:bottom w:val="single" w:color="000000" w:sz="4" w:space="0"/>
              <w:right w:val="single" w:color="000000" w:sz="4" w:space="0"/>
            </w:tcBorders>
            <w:noWrap w:val="0"/>
            <w:vAlign w:val="center"/>
          </w:tcPr>
          <w:p w14:paraId="06924C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序号</w:t>
            </w:r>
          </w:p>
        </w:tc>
        <w:tc>
          <w:tcPr>
            <w:tcW w:w="1640" w:type="dxa"/>
            <w:gridSpan w:val="2"/>
            <w:tcBorders>
              <w:top w:val="single" w:color="000000" w:sz="4" w:space="0"/>
              <w:left w:val="single" w:color="000000" w:sz="4" w:space="0"/>
              <w:bottom w:val="single" w:color="000000" w:sz="4" w:space="0"/>
              <w:right w:val="single" w:color="000000" w:sz="4" w:space="0"/>
            </w:tcBorders>
            <w:noWrap w:val="0"/>
            <w:vAlign w:val="center"/>
          </w:tcPr>
          <w:p w14:paraId="569D1CA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评审项目</w:t>
            </w:r>
          </w:p>
        </w:tc>
        <w:tc>
          <w:tcPr>
            <w:tcW w:w="6569" w:type="dxa"/>
            <w:tcBorders>
              <w:top w:val="single" w:color="000000" w:sz="4" w:space="0"/>
              <w:left w:val="single" w:color="000000" w:sz="4" w:space="0"/>
              <w:bottom w:val="single" w:color="000000" w:sz="4" w:space="0"/>
              <w:right w:val="single" w:color="000000" w:sz="4" w:space="0"/>
            </w:tcBorders>
            <w:noWrap w:val="0"/>
            <w:vAlign w:val="center"/>
          </w:tcPr>
          <w:p w14:paraId="537A64E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评审标准</w:t>
            </w: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10F7967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分值</w:t>
            </w:r>
          </w:p>
        </w:tc>
      </w:tr>
      <w:tr w14:paraId="4681A66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169" w:hRule="atLeast"/>
        </w:trPr>
        <w:tc>
          <w:tcPr>
            <w:tcW w:w="585" w:type="dxa"/>
            <w:tcBorders>
              <w:top w:val="single" w:color="000000" w:sz="4" w:space="0"/>
              <w:left w:val="single" w:color="000000" w:sz="4" w:space="0"/>
              <w:bottom w:val="single" w:color="000000" w:sz="4" w:space="0"/>
              <w:right w:val="single" w:color="000000" w:sz="4" w:space="0"/>
            </w:tcBorders>
            <w:noWrap w:val="0"/>
            <w:vAlign w:val="center"/>
          </w:tcPr>
          <w:p w14:paraId="34FC72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1</w:t>
            </w:r>
          </w:p>
        </w:tc>
        <w:tc>
          <w:tcPr>
            <w:tcW w:w="1640" w:type="dxa"/>
            <w:gridSpan w:val="2"/>
            <w:tcBorders>
              <w:top w:val="single" w:color="000000" w:sz="4" w:space="0"/>
              <w:left w:val="single" w:color="000000" w:sz="4" w:space="0"/>
              <w:bottom w:val="single" w:color="000000" w:sz="4" w:space="0"/>
              <w:right w:val="single" w:color="000000" w:sz="4" w:space="0"/>
            </w:tcBorders>
            <w:noWrap w:val="0"/>
            <w:vAlign w:val="center"/>
          </w:tcPr>
          <w:p w14:paraId="3DE177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价格（</w:t>
            </w:r>
            <w:r>
              <w:rPr>
                <w:rFonts w:hint="eastAsia"/>
                <w:color w:val="auto"/>
                <w:highlight w:val="none"/>
                <w:lang w:val="en-US" w:eastAsia="zh-CN"/>
              </w:rPr>
              <w:t>4</w:t>
            </w:r>
            <w:r>
              <w:rPr>
                <w:rFonts w:hint="eastAsia"/>
                <w:color w:val="auto"/>
                <w:highlight w:val="none"/>
              </w:rPr>
              <w:t>0分）</w:t>
            </w:r>
          </w:p>
        </w:tc>
        <w:tc>
          <w:tcPr>
            <w:tcW w:w="6569" w:type="dxa"/>
            <w:tcBorders>
              <w:top w:val="single" w:color="000000" w:sz="4" w:space="0"/>
              <w:left w:val="single" w:color="000000" w:sz="4" w:space="0"/>
              <w:bottom w:val="single" w:color="000000" w:sz="4" w:space="0"/>
              <w:right w:val="single" w:color="000000" w:sz="4" w:space="0"/>
            </w:tcBorders>
            <w:noWrap w:val="0"/>
            <w:vAlign w:val="center"/>
          </w:tcPr>
          <w:p w14:paraId="7A04C9B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color w:val="auto"/>
                <w:highlight w:val="none"/>
              </w:rPr>
            </w:pPr>
            <w:r>
              <w:rPr>
                <w:rFonts w:hint="eastAsia"/>
                <w:color w:val="auto"/>
                <w:highlight w:val="none"/>
              </w:rPr>
              <w:t>满足招标文件要求且投标价格最低的投标报价为评标基准价，其价格分为满分，其他有效投标人的价格分按照下列公式计算：投标报价得分＝（评标基准价／投标报价）x</w:t>
            </w:r>
            <w:r>
              <w:rPr>
                <w:rFonts w:hint="eastAsia"/>
                <w:color w:val="auto"/>
                <w:highlight w:val="none"/>
                <w:lang w:val="en-US" w:eastAsia="zh-CN"/>
              </w:rPr>
              <w:t>4</w:t>
            </w:r>
            <w:r>
              <w:rPr>
                <w:rFonts w:hint="eastAsia"/>
                <w:color w:val="auto"/>
                <w:highlight w:val="none"/>
              </w:rPr>
              <w:t>0</w:t>
            </w: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42C6FD3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lang w:val="en-US" w:eastAsia="zh-CN"/>
              </w:rPr>
              <w:t>4</w:t>
            </w:r>
            <w:r>
              <w:rPr>
                <w:rFonts w:hint="eastAsia"/>
                <w:color w:val="auto"/>
                <w:highlight w:val="none"/>
              </w:rPr>
              <w:t>0</w:t>
            </w:r>
          </w:p>
        </w:tc>
      </w:tr>
      <w:tr w14:paraId="5FB18CF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01" w:hRule="atLeast"/>
        </w:trPr>
        <w:tc>
          <w:tcPr>
            <w:tcW w:w="585" w:type="dxa"/>
            <w:vMerge w:val="restart"/>
            <w:tcBorders>
              <w:top w:val="single" w:color="000000" w:sz="4" w:space="0"/>
              <w:left w:val="single" w:color="000000" w:sz="4" w:space="0"/>
              <w:right w:val="single" w:color="000000" w:sz="4" w:space="0"/>
            </w:tcBorders>
            <w:noWrap w:val="0"/>
            <w:vAlign w:val="center"/>
          </w:tcPr>
          <w:p w14:paraId="016818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auto"/>
                <w:highlight w:val="none"/>
                <w:lang w:val="en-US" w:eastAsia="zh-CN"/>
              </w:rPr>
            </w:pPr>
            <w:r>
              <w:rPr>
                <w:rFonts w:hint="eastAsia"/>
                <w:color w:val="auto"/>
                <w:highlight w:val="none"/>
                <w:lang w:val="en-US" w:eastAsia="zh-CN"/>
              </w:rPr>
              <w:t>2</w:t>
            </w:r>
          </w:p>
        </w:tc>
        <w:tc>
          <w:tcPr>
            <w:tcW w:w="778" w:type="dxa"/>
            <w:vMerge w:val="restart"/>
            <w:tcBorders>
              <w:top w:val="single" w:color="000000" w:sz="4" w:space="0"/>
              <w:left w:val="single" w:color="000000" w:sz="4" w:space="0"/>
              <w:right w:val="single" w:color="000000" w:sz="4" w:space="0"/>
            </w:tcBorders>
            <w:noWrap w:val="0"/>
            <w:vAlign w:val="center"/>
          </w:tcPr>
          <w:p w14:paraId="47F2CA5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eastAsia="宋体"/>
                <w:color w:val="auto"/>
                <w:highlight w:val="none"/>
                <w:lang w:val="en-US" w:eastAsia="zh-CN"/>
              </w:rPr>
            </w:pPr>
            <w:r>
              <w:rPr>
                <w:rFonts w:hint="eastAsia"/>
                <w:color w:val="auto"/>
                <w:highlight w:val="none"/>
                <w:lang w:val="en-US" w:eastAsia="zh-CN"/>
              </w:rPr>
              <w:t>商务（25分）</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4195A2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Calibri" w:hAnsi="Calibri" w:eastAsia="宋体" w:cs="Times New Roman"/>
                <w:color w:val="auto"/>
                <w:kern w:val="2"/>
                <w:sz w:val="21"/>
                <w:szCs w:val="24"/>
                <w:highlight w:val="none"/>
                <w:lang w:val="en-US" w:eastAsia="zh-CN" w:bidi="ar-SA"/>
              </w:rPr>
            </w:pPr>
            <w:r>
              <w:rPr>
                <w:rFonts w:hint="eastAsia"/>
                <w:color w:val="auto"/>
                <w:highlight w:val="none"/>
              </w:rPr>
              <w:t>技术服务方案</w:t>
            </w:r>
          </w:p>
        </w:tc>
        <w:tc>
          <w:tcPr>
            <w:tcW w:w="6569" w:type="dxa"/>
            <w:tcBorders>
              <w:top w:val="single" w:color="000000" w:sz="4" w:space="0"/>
              <w:left w:val="single" w:color="000000" w:sz="4" w:space="0"/>
              <w:bottom w:val="single" w:color="000000" w:sz="4" w:space="0"/>
              <w:right w:val="single" w:color="000000" w:sz="4" w:space="0"/>
            </w:tcBorders>
            <w:noWrap w:val="0"/>
            <w:vAlign w:val="center"/>
          </w:tcPr>
          <w:p w14:paraId="21F01217">
            <w:pPr>
              <w:jc w:val="left"/>
              <w:rPr>
                <w:rFonts w:hint="eastAsia" w:ascii="宋体" w:hAnsi="宋体" w:eastAsia="宋体" w:cs="宋体"/>
                <w:color w:val="auto"/>
                <w:sz w:val="21"/>
                <w:szCs w:val="21"/>
              </w:rPr>
            </w:pPr>
            <w:r>
              <w:rPr>
                <w:rFonts w:hint="eastAsia" w:ascii="宋体" w:hAnsi="宋体" w:eastAsia="宋体" w:cs="宋体"/>
                <w:color w:val="auto"/>
                <w:kern w:val="2"/>
                <w:sz w:val="21"/>
                <w:szCs w:val="21"/>
                <w:lang w:val="zh-CN" w:eastAsia="zh-CN" w:bidi="ar-SA"/>
              </w:rPr>
              <w:t>【</w:t>
            </w:r>
            <w:r>
              <w:rPr>
                <w:rFonts w:hint="eastAsia" w:ascii="宋体" w:hAnsi="宋体" w:eastAsia="宋体" w:cs="宋体"/>
                <w:color w:val="auto"/>
                <w:kern w:val="2"/>
                <w:sz w:val="21"/>
                <w:szCs w:val="21"/>
                <w:lang w:val="en-US" w:eastAsia="zh-CN" w:bidi="ar-SA"/>
              </w:rPr>
              <w:t>技术</w:t>
            </w:r>
            <w:r>
              <w:rPr>
                <w:rFonts w:hint="eastAsia" w:ascii="宋体" w:hAnsi="宋体" w:eastAsia="宋体" w:cs="宋体"/>
                <w:color w:val="auto"/>
                <w:sz w:val="21"/>
                <w:szCs w:val="21"/>
                <w:lang w:val="en-US" w:eastAsia="zh-CN"/>
              </w:rPr>
              <w:t>服务</w:t>
            </w:r>
            <w:r>
              <w:rPr>
                <w:rFonts w:hint="eastAsia" w:ascii="宋体" w:hAnsi="宋体" w:eastAsia="宋体" w:cs="宋体"/>
                <w:color w:val="auto"/>
                <w:sz w:val="21"/>
                <w:szCs w:val="21"/>
                <w:lang w:val="zh-CN" w:eastAsia="zh-CN"/>
              </w:rPr>
              <w:t>】的评分规则</w:t>
            </w:r>
            <w:r>
              <w:rPr>
                <w:rFonts w:hint="eastAsia" w:ascii="宋体" w:hAnsi="宋体" w:eastAsia="宋体" w:cs="宋体"/>
                <w:color w:val="auto"/>
                <w:sz w:val="21"/>
                <w:szCs w:val="21"/>
                <w:lang w:val="en-US" w:eastAsia="zh-CN"/>
              </w:rPr>
              <w:t>：根据各投标单位针对本项目制订的实施方案，包括但不限于：核心资源建设与整合、基础服务支持、个性化与深度服务、培训与推广服务、安全与运维保障、服务评估与优化等内容,各项内容针对性强、内容详细、措施有力、满足采购需求的计15分；有缺项、漏项的每项扣3分，欠完善、针对性不强的扣2分，扣完为止。没有提供的不计分。</w:t>
            </w:r>
          </w:p>
          <w:p w14:paraId="2FE763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alibri" w:hAnsi="Calibri" w:eastAsia="宋体" w:cs="Times New Roman"/>
                <w:color w:val="auto"/>
                <w:kern w:val="2"/>
                <w:sz w:val="21"/>
                <w:szCs w:val="24"/>
                <w:highlight w:val="none"/>
                <w:lang w:val="en-US" w:eastAsia="zh-CN" w:bidi="ar-SA"/>
              </w:rPr>
            </w:pP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40EC47E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Calibri" w:hAnsi="Calibri" w:eastAsia="宋体" w:cs="Times New Roman"/>
                <w:color w:val="auto"/>
                <w:kern w:val="2"/>
                <w:sz w:val="21"/>
                <w:szCs w:val="24"/>
                <w:highlight w:val="none"/>
                <w:lang w:val="en-US" w:eastAsia="zh-CN" w:bidi="ar-SA"/>
              </w:rPr>
            </w:pPr>
            <w:r>
              <w:rPr>
                <w:rFonts w:hint="eastAsia"/>
                <w:color w:val="auto"/>
                <w:highlight w:val="none"/>
              </w:rPr>
              <w:t>1</w:t>
            </w:r>
            <w:r>
              <w:rPr>
                <w:rFonts w:hint="eastAsia"/>
                <w:color w:val="auto"/>
                <w:highlight w:val="none"/>
                <w:lang w:val="en-US" w:eastAsia="zh-CN"/>
              </w:rPr>
              <w:t>5</w:t>
            </w:r>
          </w:p>
        </w:tc>
      </w:tr>
      <w:tr w14:paraId="71CA09F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241" w:hRule="atLeast"/>
        </w:trPr>
        <w:tc>
          <w:tcPr>
            <w:tcW w:w="585" w:type="dxa"/>
            <w:vMerge w:val="continue"/>
            <w:tcBorders>
              <w:left w:val="single" w:color="000000" w:sz="4" w:space="0"/>
              <w:right w:val="single" w:color="000000" w:sz="4" w:space="0"/>
            </w:tcBorders>
            <w:noWrap w:val="0"/>
            <w:vAlign w:val="center"/>
          </w:tcPr>
          <w:p w14:paraId="794E949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p>
        </w:tc>
        <w:tc>
          <w:tcPr>
            <w:tcW w:w="778" w:type="dxa"/>
            <w:vMerge w:val="continue"/>
            <w:tcBorders>
              <w:left w:val="single" w:color="000000" w:sz="4" w:space="0"/>
              <w:right w:val="single" w:color="000000" w:sz="4" w:space="0"/>
            </w:tcBorders>
            <w:noWrap w:val="0"/>
            <w:vAlign w:val="center"/>
          </w:tcPr>
          <w:p w14:paraId="720F86C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7EE471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Calibri" w:hAnsi="Calibri" w:eastAsia="宋体" w:cs="Times New Roman"/>
                <w:color w:val="auto"/>
                <w:kern w:val="2"/>
                <w:sz w:val="21"/>
                <w:szCs w:val="24"/>
                <w:highlight w:val="none"/>
                <w:lang w:val="en-US" w:eastAsia="zh-CN" w:bidi="ar-SA"/>
              </w:rPr>
            </w:pPr>
            <w:r>
              <w:rPr>
                <w:rFonts w:hint="eastAsia"/>
                <w:color w:val="auto"/>
                <w:highlight w:val="none"/>
              </w:rPr>
              <w:t>售后服务方案</w:t>
            </w:r>
          </w:p>
        </w:tc>
        <w:tc>
          <w:tcPr>
            <w:tcW w:w="6569" w:type="dxa"/>
            <w:tcBorders>
              <w:top w:val="single" w:color="000000" w:sz="4" w:space="0"/>
              <w:left w:val="single" w:color="000000" w:sz="4" w:space="0"/>
              <w:bottom w:val="single" w:color="000000" w:sz="4" w:space="0"/>
              <w:right w:val="single" w:color="000000" w:sz="4" w:space="0"/>
            </w:tcBorders>
            <w:noWrap w:val="0"/>
            <w:vAlign w:val="center"/>
          </w:tcPr>
          <w:p w14:paraId="0D5C324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alibri" w:hAnsi="Calibri" w:eastAsia="宋体" w:cs="Times New Roman"/>
                <w:color w:val="auto"/>
                <w:kern w:val="2"/>
                <w:sz w:val="21"/>
                <w:szCs w:val="24"/>
                <w:highlight w:val="none"/>
                <w:lang w:val="en-US" w:eastAsia="zh-CN" w:bidi="ar-SA"/>
              </w:rPr>
            </w:pPr>
            <w:r>
              <w:rPr>
                <w:rFonts w:hint="eastAsia" w:ascii="宋体" w:hAnsi="宋体" w:eastAsia="宋体" w:cs="宋体"/>
                <w:color w:val="auto"/>
                <w:kern w:val="2"/>
                <w:sz w:val="21"/>
                <w:szCs w:val="21"/>
                <w:lang w:val="zh-CN" w:eastAsia="zh-CN" w:bidi="ar-SA"/>
              </w:rPr>
              <w:t>【售后服务</w:t>
            </w:r>
            <w:r>
              <w:rPr>
                <w:rFonts w:hint="eastAsia" w:ascii="宋体" w:hAnsi="宋体" w:cs="宋体"/>
                <w:color w:val="auto"/>
                <w:kern w:val="2"/>
                <w:sz w:val="21"/>
                <w:szCs w:val="21"/>
                <w:lang w:val="zh-CN" w:eastAsia="zh-CN" w:bidi="ar-SA"/>
              </w:rPr>
              <w:t>】</w:t>
            </w:r>
            <w:r>
              <w:rPr>
                <w:rFonts w:hint="eastAsia" w:ascii="宋体" w:hAnsi="宋体" w:eastAsia="宋体" w:cs="宋体"/>
                <w:color w:val="auto"/>
                <w:kern w:val="2"/>
                <w:sz w:val="21"/>
                <w:szCs w:val="21"/>
                <w:lang w:val="zh-CN" w:eastAsia="zh-CN" w:bidi="ar-SA"/>
              </w:rPr>
              <w:t>的评分规则:根据投标人针对本项目所提供的售后服务方案，包括但不限于</w:t>
            </w:r>
            <w:r>
              <w:rPr>
                <w:rFonts w:hint="eastAsia" w:ascii="宋体" w:hAnsi="宋体" w:cs="宋体"/>
                <w:color w:val="auto"/>
                <w:kern w:val="2"/>
                <w:sz w:val="21"/>
                <w:szCs w:val="21"/>
                <w:lang w:val="zh-CN" w:eastAsia="zh-CN" w:bidi="ar-SA"/>
              </w:rPr>
              <w:t>：</w:t>
            </w:r>
            <w:r>
              <w:rPr>
                <w:rFonts w:hint="eastAsia" w:ascii="宋体" w:hAnsi="宋体" w:cs="宋体"/>
                <w:color w:val="auto"/>
                <w:kern w:val="2"/>
                <w:sz w:val="21"/>
                <w:szCs w:val="21"/>
                <w:lang w:val="en-US" w:eastAsia="zh-CN" w:bidi="ar-SA"/>
              </w:rPr>
              <w:t>技术支持与问题</w:t>
            </w:r>
            <w:r>
              <w:rPr>
                <w:rFonts w:hint="eastAsia" w:ascii="宋体" w:hAnsi="宋体" w:eastAsia="宋体" w:cs="宋体"/>
                <w:color w:val="auto"/>
                <w:kern w:val="2"/>
                <w:sz w:val="21"/>
                <w:szCs w:val="21"/>
                <w:lang w:val="zh-CN" w:eastAsia="zh-CN" w:bidi="ar-SA"/>
              </w:rPr>
              <w:t>、资源维护与更新保障</w:t>
            </w:r>
            <w:r>
              <w:rPr>
                <w:rFonts w:hint="eastAsia" w:ascii="宋体" w:hAnsi="宋体" w:cs="宋体"/>
                <w:color w:val="auto"/>
                <w:kern w:val="2"/>
                <w:sz w:val="21"/>
                <w:szCs w:val="21"/>
                <w:lang w:val="en-US" w:eastAsia="zh-CN" w:bidi="ar-SA"/>
              </w:rPr>
              <w:t>、</w:t>
            </w:r>
            <w:r>
              <w:rPr>
                <w:rFonts w:hint="default" w:ascii="Calibri" w:hAnsi="Calibri" w:eastAsia="宋体" w:cs="Calibri"/>
                <w:color w:val="auto"/>
                <w:sz w:val="21"/>
                <w:szCs w:val="21"/>
                <w:lang w:val="en-US" w:eastAsia="zh-CN"/>
              </w:rPr>
              <w:t>用户反馈与需求响应</w:t>
            </w:r>
            <w:r>
              <w:rPr>
                <w:rFonts w:hint="eastAsia" w:ascii="宋体" w:hAnsi="宋体" w:eastAsia="宋体" w:cs="宋体"/>
                <w:color w:val="auto"/>
                <w:kern w:val="2"/>
                <w:sz w:val="21"/>
                <w:szCs w:val="21"/>
                <w:lang w:val="zh-CN" w:eastAsia="zh-CN" w:bidi="ar-SA"/>
              </w:rPr>
              <w:t>等进行评价，方案完整、科学合理、贴合项目实际情况的计</w:t>
            </w:r>
            <w:r>
              <w:rPr>
                <w:rFonts w:hint="eastAsia" w:ascii="宋体" w:hAnsi="宋体" w:cs="宋体"/>
                <w:color w:val="auto"/>
                <w:kern w:val="2"/>
                <w:sz w:val="21"/>
                <w:szCs w:val="21"/>
                <w:lang w:val="en-US" w:eastAsia="zh-CN" w:bidi="ar-SA"/>
              </w:rPr>
              <w:t>5</w:t>
            </w:r>
            <w:r>
              <w:rPr>
                <w:rFonts w:hint="eastAsia" w:ascii="宋体" w:hAnsi="宋体" w:eastAsia="宋体" w:cs="宋体"/>
                <w:color w:val="auto"/>
                <w:kern w:val="2"/>
                <w:sz w:val="21"/>
                <w:szCs w:val="21"/>
                <w:lang w:val="zh-CN" w:eastAsia="zh-CN" w:bidi="ar-SA"/>
              </w:rPr>
              <w:t>分</w:t>
            </w:r>
            <w:r>
              <w:rPr>
                <w:rFonts w:hint="eastAsia" w:ascii="宋体" w:hAnsi="宋体" w:cs="宋体"/>
                <w:color w:val="auto"/>
                <w:kern w:val="2"/>
                <w:sz w:val="21"/>
                <w:szCs w:val="21"/>
                <w:lang w:val="en-US" w:eastAsia="zh-CN" w:bidi="ar-SA"/>
              </w:rPr>
              <w:t>；</w:t>
            </w:r>
            <w:r>
              <w:rPr>
                <w:rFonts w:hint="eastAsia" w:ascii="宋体" w:hAnsi="宋体" w:eastAsia="宋体" w:cs="宋体"/>
                <w:color w:val="auto"/>
                <w:kern w:val="2"/>
                <w:sz w:val="21"/>
                <w:szCs w:val="21"/>
                <w:lang w:val="zh-CN" w:eastAsia="zh-CN" w:bidi="ar-SA"/>
              </w:rPr>
              <w:t>有缺项、漏项的每项</w:t>
            </w:r>
            <w:r>
              <w:rPr>
                <w:rFonts w:hint="eastAsia" w:ascii="宋体" w:hAnsi="宋体" w:cs="宋体"/>
                <w:color w:val="auto"/>
                <w:kern w:val="2"/>
                <w:sz w:val="21"/>
                <w:szCs w:val="21"/>
                <w:lang w:val="en-US" w:eastAsia="zh-CN" w:bidi="ar-SA"/>
              </w:rPr>
              <w:t>1</w:t>
            </w:r>
            <w:r>
              <w:rPr>
                <w:rFonts w:hint="eastAsia" w:ascii="宋体" w:hAnsi="宋体" w:eastAsia="宋体" w:cs="宋体"/>
                <w:color w:val="auto"/>
                <w:kern w:val="2"/>
                <w:sz w:val="21"/>
                <w:szCs w:val="21"/>
                <w:lang w:val="zh-CN" w:eastAsia="zh-CN" w:bidi="ar-SA"/>
              </w:rPr>
              <w:t>分，欠完善、针对性不强的扣</w:t>
            </w:r>
            <w:r>
              <w:rPr>
                <w:rFonts w:hint="eastAsia" w:ascii="宋体" w:hAnsi="宋体" w:cs="宋体"/>
                <w:color w:val="auto"/>
                <w:kern w:val="2"/>
                <w:sz w:val="21"/>
                <w:szCs w:val="21"/>
                <w:lang w:val="en-US" w:eastAsia="zh-CN" w:bidi="ar-SA"/>
              </w:rPr>
              <w:t>1</w:t>
            </w:r>
            <w:r>
              <w:rPr>
                <w:rFonts w:hint="eastAsia" w:ascii="宋体" w:hAnsi="宋体" w:eastAsia="宋体" w:cs="宋体"/>
                <w:color w:val="auto"/>
                <w:kern w:val="2"/>
                <w:sz w:val="21"/>
                <w:szCs w:val="21"/>
                <w:lang w:val="zh-CN" w:eastAsia="zh-CN" w:bidi="ar-SA"/>
              </w:rPr>
              <w:t>分，扣完为止。没有提供的不计分。</w:t>
            </w: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43D7AF0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Calibri" w:hAnsi="Calibri" w:eastAsia="宋体" w:cs="Times New Roman"/>
                <w:color w:val="auto"/>
                <w:kern w:val="2"/>
                <w:sz w:val="21"/>
                <w:szCs w:val="24"/>
                <w:highlight w:val="none"/>
                <w:lang w:val="en-US" w:eastAsia="zh-CN" w:bidi="ar-SA"/>
              </w:rPr>
            </w:pPr>
            <w:r>
              <w:rPr>
                <w:rFonts w:hint="eastAsia"/>
                <w:color w:val="auto"/>
                <w:highlight w:val="none"/>
                <w:lang w:val="en-US" w:eastAsia="zh-CN"/>
              </w:rPr>
              <w:t>5</w:t>
            </w:r>
          </w:p>
        </w:tc>
      </w:tr>
      <w:tr w14:paraId="6CC4A48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461" w:hRule="atLeast"/>
        </w:trPr>
        <w:tc>
          <w:tcPr>
            <w:tcW w:w="585" w:type="dxa"/>
            <w:vMerge w:val="continue"/>
            <w:tcBorders>
              <w:left w:val="single" w:color="000000" w:sz="4" w:space="0"/>
              <w:right w:val="single" w:color="000000" w:sz="4" w:space="0"/>
            </w:tcBorders>
            <w:noWrap w:val="0"/>
            <w:vAlign w:val="center"/>
          </w:tcPr>
          <w:p w14:paraId="0870FE1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p>
        </w:tc>
        <w:tc>
          <w:tcPr>
            <w:tcW w:w="778" w:type="dxa"/>
            <w:vMerge w:val="continue"/>
            <w:tcBorders>
              <w:left w:val="single" w:color="000000" w:sz="4" w:space="0"/>
              <w:right w:val="single" w:color="000000" w:sz="4" w:space="0"/>
            </w:tcBorders>
            <w:noWrap w:val="0"/>
            <w:vAlign w:val="center"/>
          </w:tcPr>
          <w:p w14:paraId="1ED13CD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9CD3A4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Calibri" w:hAnsi="Calibri" w:eastAsia="宋体" w:cs="Times New Roman"/>
                <w:color w:val="auto"/>
                <w:kern w:val="2"/>
                <w:sz w:val="21"/>
                <w:szCs w:val="24"/>
                <w:highlight w:val="none"/>
                <w:lang w:val="en-US" w:eastAsia="zh-CN" w:bidi="ar-SA"/>
              </w:rPr>
            </w:pPr>
            <w:r>
              <w:rPr>
                <w:rFonts w:hint="eastAsia"/>
                <w:color w:val="auto"/>
                <w:highlight w:val="none"/>
              </w:rPr>
              <w:t>业绩</w:t>
            </w:r>
          </w:p>
        </w:tc>
        <w:tc>
          <w:tcPr>
            <w:tcW w:w="6569" w:type="dxa"/>
            <w:tcBorders>
              <w:top w:val="single" w:color="000000" w:sz="4" w:space="0"/>
              <w:left w:val="single" w:color="000000" w:sz="4" w:space="0"/>
              <w:bottom w:val="single" w:color="000000" w:sz="4" w:space="0"/>
              <w:right w:val="single" w:color="000000" w:sz="4" w:space="0"/>
            </w:tcBorders>
            <w:noWrap w:val="0"/>
            <w:vAlign w:val="center"/>
          </w:tcPr>
          <w:p w14:paraId="6A0A39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alibri" w:hAnsi="Calibri" w:eastAsia="宋体" w:cs="Times New Roman"/>
                <w:color w:val="auto"/>
                <w:kern w:val="2"/>
                <w:sz w:val="21"/>
                <w:szCs w:val="24"/>
                <w:highlight w:val="none"/>
                <w:lang w:val="en-US" w:eastAsia="zh-CN" w:bidi="ar-SA"/>
              </w:rPr>
            </w:pPr>
            <w:r>
              <w:rPr>
                <w:rFonts w:hint="eastAsia" w:eastAsia="宋体" w:cs="Times New Roman"/>
                <w:color w:val="auto"/>
                <w:highlight w:val="none"/>
              </w:rPr>
              <w:t>提供所投产品近3年在</w:t>
            </w:r>
            <w:r>
              <w:rPr>
                <w:rFonts w:hint="eastAsia" w:cs="Times New Roman"/>
                <w:color w:val="auto"/>
                <w:highlight w:val="none"/>
                <w:lang w:val="en-US" w:eastAsia="zh-CN"/>
              </w:rPr>
              <w:t>三甲综合医院</w:t>
            </w:r>
            <w:r>
              <w:rPr>
                <w:rFonts w:hint="eastAsia" w:eastAsia="宋体" w:cs="Times New Roman"/>
                <w:color w:val="auto"/>
                <w:highlight w:val="none"/>
              </w:rPr>
              <w:t>的销售业绩，以最终用户供货合同或中标通知书扫描件为准，每提供1份计</w:t>
            </w:r>
            <w:r>
              <w:rPr>
                <w:rFonts w:hint="eastAsia" w:cs="Times New Roman"/>
                <w:color w:val="auto"/>
                <w:highlight w:val="none"/>
                <w:lang w:val="en-US" w:eastAsia="zh-CN"/>
              </w:rPr>
              <w:t>1</w:t>
            </w:r>
            <w:r>
              <w:rPr>
                <w:rFonts w:hint="eastAsia" w:eastAsia="宋体" w:cs="Times New Roman"/>
                <w:color w:val="auto"/>
                <w:highlight w:val="none"/>
              </w:rPr>
              <w:t>分，满分</w:t>
            </w:r>
            <w:r>
              <w:rPr>
                <w:rFonts w:hint="eastAsia" w:cs="Times New Roman"/>
                <w:color w:val="auto"/>
                <w:highlight w:val="none"/>
                <w:lang w:val="en-US" w:eastAsia="zh-CN"/>
              </w:rPr>
              <w:t>5</w:t>
            </w:r>
            <w:r>
              <w:rPr>
                <w:rFonts w:hint="eastAsia" w:eastAsia="宋体" w:cs="Times New Roman"/>
                <w:color w:val="auto"/>
                <w:highlight w:val="none"/>
              </w:rPr>
              <w:t>分。注：近3年是指202</w:t>
            </w:r>
            <w:r>
              <w:rPr>
                <w:rFonts w:hint="eastAsia" w:eastAsia="宋体" w:cs="Times New Roman"/>
                <w:color w:val="auto"/>
                <w:highlight w:val="none"/>
                <w:lang w:val="en-US" w:eastAsia="zh-CN"/>
              </w:rPr>
              <w:t>3</w:t>
            </w:r>
            <w:r>
              <w:rPr>
                <w:rFonts w:hint="eastAsia" w:eastAsia="宋体" w:cs="Times New Roman"/>
                <w:color w:val="auto"/>
                <w:highlight w:val="none"/>
              </w:rPr>
              <w:t>年1月至今，合同时间以招标人签订时间为准。</w:t>
            </w: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04216E5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eastAsia="宋体"/>
                <w:color w:val="auto"/>
                <w:highlight w:val="none"/>
                <w:lang w:val="en-US" w:eastAsia="zh-CN"/>
              </w:rPr>
            </w:pPr>
            <w:r>
              <w:rPr>
                <w:rFonts w:hint="eastAsia"/>
                <w:color w:val="auto"/>
                <w:highlight w:val="none"/>
                <w:lang w:val="en-US" w:eastAsia="zh-CN"/>
              </w:rPr>
              <w:t>5</w:t>
            </w:r>
          </w:p>
        </w:tc>
      </w:tr>
      <w:tr w14:paraId="0F6FD2A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994" w:hRule="atLeast"/>
        </w:trPr>
        <w:tc>
          <w:tcPr>
            <w:tcW w:w="585" w:type="dxa"/>
            <w:tcBorders>
              <w:top w:val="single" w:color="000000" w:sz="4" w:space="0"/>
              <w:left w:val="single" w:color="000000" w:sz="4" w:space="0"/>
              <w:bottom w:val="single" w:color="000000" w:sz="4" w:space="0"/>
              <w:right w:val="single" w:color="000000" w:sz="4" w:space="0"/>
            </w:tcBorders>
            <w:noWrap w:val="0"/>
            <w:vAlign w:val="center"/>
          </w:tcPr>
          <w:p w14:paraId="54CBBC8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3</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5CD58A7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技术</w:t>
            </w:r>
            <w:r>
              <w:rPr>
                <w:rFonts w:hint="eastAsia"/>
                <w:color w:val="auto"/>
                <w:highlight w:val="none"/>
                <w:lang w:eastAsia="zh-CN"/>
              </w:rPr>
              <w:t>（</w:t>
            </w:r>
            <w:r>
              <w:rPr>
                <w:rFonts w:hint="eastAsia"/>
                <w:color w:val="auto"/>
                <w:highlight w:val="none"/>
                <w:lang w:val="en-US" w:eastAsia="zh-CN"/>
              </w:rPr>
              <w:t>35</w:t>
            </w:r>
            <w:r>
              <w:rPr>
                <w:rFonts w:hint="eastAsia"/>
                <w:color w:val="auto"/>
                <w:highlight w:val="none"/>
              </w:rPr>
              <w:t>分）</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7F8E0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olor w:val="auto"/>
                <w:highlight w:val="none"/>
              </w:rPr>
            </w:pPr>
            <w:r>
              <w:rPr>
                <w:rFonts w:hint="eastAsia"/>
                <w:color w:val="auto"/>
                <w:highlight w:val="none"/>
              </w:rPr>
              <w:t>技术指标响应程度</w:t>
            </w:r>
          </w:p>
        </w:tc>
        <w:tc>
          <w:tcPr>
            <w:tcW w:w="6569" w:type="dxa"/>
            <w:tcBorders>
              <w:top w:val="single" w:color="000000" w:sz="4" w:space="0"/>
              <w:left w:val="single" w:color="000000" w:sz="4" w:space="0"/>
              <w:bottom w:val="single" w:color="000000" w:sz="4" w:space="0"/>
              <w:right w:val="single" w:color="000000" w:sz="4" w:space="0"/>
            </w:tcBorders>
            <w:noWrap w:val="0"/>
            <w:vAlign w:val="center"/>
          </w:tcPr>
          <w:p w14:paraId="7ACDF7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cs="Times New Roman"/>
                <w:color w:val="auto"/>
                <w:highlight w:val="none"/>
              </w:rPr>
            </w:pPr>
            <w:r>
              <w:rPr>
                <w:rFonts w:hint="eastAsia" w:eastAsia="宋体" w:cs="Times New Roman"/>
                <w:color w:val="auto"/>
                <w:highlight w:val="none"/>
              </w:rPr>
              <w:t>完全满足招标文件技术要求的，计</w:t>
            </w:r>
            <w:r>
              <w:rPr>
                <w:rFonts w:hint="eastAsia" w:eastAsia="宋体" w:cs="Times New Roman"/>
                <w:color w:val="auto"/>
                <w:highlight w:val="none"/>
                <w:lang w:val="en-US" w:eastAsia="zh-CN"/>
              </w:rPr>
              <w:t>35</w:t>
            </w:r>
            <w:r>
              <w:rPr>
                <w:rFonts w:hint="eastAsia" w:eastAsia="宋体" w:cs="Times New Roman"/>
                <w:color w:val="auto"/>
                <w:highlight w:val="none"/>
              </w:rPr>
              <w:t>分；</w:t>
            </w:r>
            <w:r>
              <w:rPr>
                <w:rFonts w:hint="eastAsia" w:ascii="宋体" w:hAnsi="宋体" w:cs="宋体"/>
                <w:color w:val="auto"/>
                <w:szCs w:val="21"/>
                <w:highlight w:val="none"/>
              </w:rPr>
              <w:t>标注“★”号的技术参数为实质性技术参数，有一项不满足或负偏离，投标无效</w:t>
            </w:r>
            <w:r>
              <w:rPr>
                <w:rFonts w:hint="eastAsia" w:ascii="宋体" w:hAnsi="宋体" w:cs="宋体"/>
                <w:color w:val="auto"/>
                <w:szCs w:val="21"/>
                <w:highlight w:val="none"/>
                <w:lang w:eastAsia="zh-CN"/>
              </w:rPr>
              <w:t>；</w:t>
            </w:r>
            <w:r>
              <w:rPr>
                <w:rFonts w:hint="eastAsia" w:eastAsia="宋体" w:cs="Times New Roman"/>
                <w:color w:val="auto"/>
                <w:highlight w:val="none"/>
              </w:rPr>
              <w:t>重要技术参数（标“</w:t>
            </w:r>
            <w:r>
              <w:rPr>
                <w:rFonts w:hint="eastAsia" w:ascii="宋体" w:hAnsi="宋体" w:cs="宋体"/>
                <w:color w:val="auto"/>
                <w:sz w:val="24"/>
                <w:highlight w:val="none"/>
                <w:lang w:val="zh-CN"/>
              </w:rPr>
              <w:t>▲</w:t>
            </w:r>
            <w:r>
              <w:rPr>
                <w:rFonts w:hint="eastAsia" w:eastAsia="宋体" w:cs="Times New Roman"/>
                <w:color w:val="auto"/>
                <w:highlight w:val="none"/>
              </w:rPr>
              <w:t>”）有负偏离的，每项扣</w:t>
            </w:r>
            <w:r>
              <w:rPr>
                <w:rFonts w:hint="eastAsia" w:eastAsia="宋体" w:cs="Times New Roman"/>
                <w:color w:val="auto"/>
                <w:highlight w:val="none"/>
                <w:lang w:val="en-US" w:eastAsia="zh-CN"/>
              </w:rPr>
              <w:t>5</w:t>
            </w:r>
            <w:r>
              <w:rPr>
                <w:rFonts w:hint="eastAsia" w:eastAsia="宋体" w:cs="Times New Roman"/>
                <w:color w:val="auto"/>
                <w:highlight w:val="none"/>
              </w:rPr>
              <w:t>分；一般技术参数（非标“</w:t>
            </w:r>
            <w:r>
              <w:rPr>
                <w:rFonts w:hint="eastAsia" w:ascii="宋体" w:hAnsi="宋体" w:cs="宋体"/>
                <w:color w:val="auto"/>
                <w:sz w:val="24"/>
                <w:highlight w:val="none"/>
                <w:lang w:val="zh-CN"/>
              </w:rPr>
              <w:t>▲</w:t>
            </w:r>
            <w:r>
              <w:rPr>
                <w:rFonts w:hint="eastAsia" w:eastAsia="宋体" w:cs="Times New Roman"/>
                <w:color w:val="auto"/>
                <w:highlight w:val="none"/>
              </w:rPr>
              <w:t>”）有负偏离的，每项扣</w:t>
            </w:r>
            <w:r>
              <w:rPr>
                <w:rFonts w:hint="eastAsia" w:eastAsia="宋体" w:cs="Times New Roman"/>
                <w:color w:val="auto"/>
                <w:highlight w:val="none"/>
                <w:lang w:val="en-US" w:eastAsia="zh-CN"/>
              </w:rPr>
              <w:t>2</w:t>
            </w:r>
            <w:r>
              <w:rPr>
                <w:rFonts w:hint="eastAsia" w:eastAsia="宋体" w:cs="Times New Roman"/>
                <w:color w:val="auto"/>
                <w:highlight w:val="none"/>
              </w:rPr>
              <w:t>分，扣完为止，正偏离不加分。备注：按采购需求要求提供相关证明文件，技术参数描述不清、不满足或未响应或不详细、缺漏项的视为不响应。投标单位针对本项目招标文件实质性条款的响应情况不得照抄招标文件，应如实编写技术参数，并如实注明偏离情况，否则视为不响应。</w:t>
            </w: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2B5E33D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auto"/>
                <w:highlight w:val="none"/>
                <w:lang w:eastAsia="zh-CN"/>
              </w:rPr>
            </w:pPr>
            <w:r>
              <w:rPr>
                <w:rFonts w:hint="eastAsia"/>
                <w:color w:val="auto"/>
                <w:highlight w:val="none"/>
                <w:lang w:val="en-US" w:eastAsia="zh-CN"/>
              </w:rPr>
              <w:t>35</w:t>
            </w:r>
          </w:p>
        </w:tc>
      </w:tr>
    </w:tbl>
    <w:p w14:paraId="74C925BE">
      <w:pPr>
        <w:jc w:val="center"/>
        <w:rPr>
          <w:rFonts w:hint="eastAsia" w:ascii="仿宋" w:hAnsi="仿宋" w:eastAsia="仿宋" w:cs="仿宋"/>
          <w:sz w:val="24"/>
          <w:szCs w:val="24"/>
        </w:rPr>
      </w:pPr>
    </w:p>
    <w:p w14:paraId="683ABBC5">
      <w:pPr>
        <w:jc w:val="center"/>
        <w:rPr>
          <w:rFonts w:hint="eastAsia" w:ascii="仿宋" w:hAnsi="仿宋" w:eastAsia="仿宋" w:cs="仿宋"/>
          <w:sz w:val="24"/>
          <w:szCs w:val="24"/>
        </w:rPr>
      </w:pPr>
    </w:p>
    <w:p w14:paraId="4E755B44">
      <w:pPr>
        <w:jc w:val="center"/>
        <w:rPr>
          <w:rFonts w:hint="eastAsia" w:ascii="仿宋" w:hAnsi="仿宋" w:eastAsia="仿宋" w:cs="仿宋"/>
          <w:sz w:val="24"/>
          <w:szCs w:val="24"/>
        </w:rPr>
      </w:pPr>
    </w:p>
    <w:p w14:paraId="4F0B6473">
      <w:pPr>
        <w:jc w:val="center"/>
        <w:rPr>
          <w:rFonts w:hint="eastAsia" w:ascii="仿宋" w:hAnsi="仿宋" w:eastAsia="仿宋" w:cs="仿宋"/>
          <w:sz w:val="24"/>
          <w:szCs w:val="24"/>
        </w:rPr>
      </w:pPr>
      <w:r>
        <w:rPr>
          <w:rFonts w:hint="eastAsia" w:ascii="仿宋" w:hAnsi="仿宋" w:eastAsia="仿宋" w:cs="仿宋"/>
          <w:sz w:val="24"/>
          <w:szCs w:val="24"/>
        </w:rPr>
        <w:br w:type="page"/>
      </w:r>
    </w:p>
    <w:p w14:paraId="5294AC11">
      <w:pPr>
        <w:jc w:val="center"/>
        <w:rPr>
          <w:rFonts w:hint="eastAsia" w:ascii="仿宋" w:hAnsi="仿宋" w:eastAsia="仿宋" w:cs="仿宋"/>
          <w:sz w:val="24"/>
          <w:szCs w:val="24"/>
        </w:rPr>
      </w:pPr>
    </w:p>
    <w:p w14:paraId="6F76C45F">
      <w:pPr>
        <w:pStyle w:val="2"/>
        <w:numPr>
          <w:ilvl w:val="0"/>
          <w:numId w:val="0"/>
        </w:numPr>
        <w:spacing w:line="240" w:lineRule="auto"/>
        <w:ind w:left="2940" w:leftChars="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A4E95C4">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13CAE84F">
      <w:pPr>
        <w:rPr>
          <w:rFonts w:hint="eastAsia" w:ascii="宋体" w:hAnsi="宋体" w:cs="宋体"/>
          <w:color w:val="auto"/>
        </w:rPr>
      </w:pPr>
    </w:p>
    <w:bookmarkEnd w:id="2"/>
    <w:p w14:paraId="09E4C51D">
      <w:pPr>
        <w:rPr>
          <w:rFonts w:hint="eastAsia"/>
          <w:color w:val="auto"/>
        </w:rPr>
      </w:pPr>
    </w:p>
    <w:p w14:paraId="37CD40BF">
      <w:pPr>
        <w:jc w:val="center"/>
        <w:rPr>
          <w:b/>
          <w:color w:val="auto"/>
          <w:sz w:val="24"/>
        </w:rPr>
      </w:pPr>
      <w:r>
        <w:rPr>
          <w:b/>
          <w:color w:val="auto"/>
          <w:sz w:val="28"/>
          <w:szCs w:val="28"/>
        </w:rPr>
        <w:t>第一部分、开标一览表</w:t>
      </w:r>
    </w:p>
    <w:p w14:paraId="6B1338EE">
      <w:pPr>
        <w:jc w:val="center"/>
        <w:rPr>
          <w:b/>
          <w:color w:val="auto"/>
          <w:sz w:val="24"/>
        </w:rPr>
      </w:pPr>
    </w:p>
    <w:p w14:paraId="3D3C4477">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5BF73B1">
      <w:pPr>
        <w:pStyle w:val="18"/>
        <w:rPr>
          <w:color w:val="auto"/>
        </w:rPr>
      </w:pPr>
    </w:p>
    <w:p w14:paraId="7D0A891F">
      <w:pPr>
        <w:adjustRightInd w:val="0"/>
        <w:snapToGrid w:val="0"/>
        <w:spacing w:line="360" w:lineRule="auto"/>
        <w:jc w:val="center"/>
        <w:rPr>
          <w:rFonts w:hint="eastAsia" w:ascii="宋体" w:hAnsi="宋体" w:cs="宋体"/>
          <w:b/>
          <w:color w:val="auto"/>
          <w:sz w:val="28"/>
          <w:szCs w:val="28"/>
        </w:rPr>
      </w:pPr>
    </w:p>
    <w:p w14:paraId="62BF4973">
      <w:pPr>
        <w:adjustRightInd w:val="0"/>
        <w:snapToGrid w:val="0"/>
        <w:spacing w:line="360" w:lineRule="auto"/>
        <w:jc w:val="center"/>
        <w:rPr>
          <w:rFonts w:hint="eastAsia" w:ascii="宋体" w:hAnsi="宋体" w:cs="宋体"/>
          <w:b/>
          <w:color w:val="auto"/>
          <w:sz w:val="28"/>
          <w:szCs w:val="28"/>
        </w:rPr>
      </w:pPr>
    </w:p>
    <w:p w14:paraId="0BBB54E5">
      <w:pPr>
        <w:adjustRightInd w:val="0"/>
        <w:snapToGrid w:val="0"/>
        <w:spacing w:line="360" w:lineRule="auto"/>
        <w:jc w:val="center"/>
        <w:rPr>
          <w:rFonts w:hint="eastAsia" w:ascii="宋体" w:hAnsi="宋体" w:cs="宋体"/>
          <w:b/>
          <w:color w:val="auto"/>
          <w:sz w:val="28"/>
          <w:szCs w:val="28"/>
        </w:rPr>
      </w:pPr>
    </w:p>
    <w:p w14:paraId="4CE6E22F">
      <w:pPr>
        <w:adjustRightInd w:val="0"/>
        <w:snapToGrid w:val="0"/>
        <w:spacing w:line="360" w:lineRule="auto"/>
        <w:jc w:val="center"/>
        <w:rPr>
          <w:rFonts w:hint="eastAsia" w:ascii="宋体" w:hAnsi="宋体" w:cs="宋体"/>
          <w:b/>
          <w:color w:val="auto"/>
          <w:sz w:val="28"/>
          <w:szCs w:val="28"/>
        </w:rPr>
      </w:pPr>
    </w:p>
    <w:p w14:paraId="1982FCFC">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171996F6">
      <w:pPr>
        <w:pStyle w:val="17"/>
        <w:rPr>
          <w:rFonts w:hint="eastAsia"/>
          <w:lang w:eastAsia="zh-CN"/>
        </w:rPr>
      </w:pPr>
    </w:p>
    <w:p w14:paraId="7FDE0FEA">
      <w:pPr>
        <w:adjustRightInd w:val="0"/>
        <w:snapToGrid w:val="0"/>
        <w:spacing w:line="360" w:lineRule="auto"/>
        <w:jc w:val="center"/>
        <w:rPr>
          <w:rFonts w:hint="eastAsia" w:ascii="宋体" w:hAnsi="宋体" w:cs="宋体"/>
          <w:b/>
          <w:color w:val="auto"/>
          <w:sz w:val="24"/>
          <w:szCs w:val="20"/>
        </w:rPr>
      </w:pPr>
    </w:p>
    <w:p w14:paraId="239AF00B">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9A4596C">
      <w:pPr>
        <w:adjustRightInd w:val="0"/>
        <w:snapToGrid w:val="0"/>
        <w:spacing w:line="360" w:lineRule="auto"/>
        <w:rPr>
          <w:rFonts w:hint="eastAsia" w:ascii="宋体" w:hAnsi="宋体" w:cs="宋体"/>
          <w:b/>
          <w:color w:val="auto"/>
          <w:sz w:val="28"/>
          <w:szCs w:val="28"/>
        </w:rPr>
      </w:pPr>
    </w:p>
    <w:p w14:paraId="7BE53E5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D5D1246">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8ACAEB5">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0CBF8D2">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52A99B80">
      <w:pPr>
        <w:adjustRightInd w:val="0"/>
        <w:snapToGrid w:val="0"/>
        <w:spacing w:line="360" w:lineRule="auto"/>
        <w:ind w:firstLine="480" w:firstLineChars="200"/>
        <w:rPr>
          <w:rFonts w:hint="eastAsia" w:ascii="宋体" w:hAnsi="宋体" w:cs="宋体"/>
          <w:color w:val="auto"/>
          <w:sz w:val="24"/>
        </w:rPr>
      </w:pPr>
    </w:p>
    <w:tbl>
      <w:tblPr>
        <w:tblStyle w:val="10"/>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DF3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FA19577">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F0B2064">
      <w:pPr>
        <w:adjustRightInd w:val="0"/>
        <w:snapToGrid w:val="0"/>
        <w:spacing w:line="360" w:lineRule="auto"/>
        <w:rPr>
          <w:rFonts w:hint="eastAsia" w:ascii="宋体" w:hAnsi="宋体" w:cs="宋体"/>
          <w:color w:val="auto"/>
          <w:sz w:val="24"/>
        </w:rPr>
      </w:pPr>
    </w:p>
    <w:tbl>
      <w:tblPr>
        <w:tblStyle w:val="10"/>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1BA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04DE166E">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F769BE4">
      <w:pPr>
        <w:adjustRightInd w:val="0"/>
        <w:snapToGrid w:val="0"/>
        <w:spacing w:line="360" w:lineRule="auto"/>
        <w:rPr>
          <w:rFonts w:hint="eastAsia" w:ascii="宋体" w:hAnsi="宋体" w:cs="宋体"/>
          <w:color w:val="auto"/>
          <w:sz w:val="24"/>
        </w:rPr>
      </w:pPr>
    </w:p>
    <w:p w14:paraId="12DF4C75">
      <w:pPr>
        <w:adjustRightInd w:val="0"/>
        <w:snapToGrid w:val="0"/>
        <w:spacing w:line="360" w:lineRule="auto"/>
        <w:rPr>
          <w:rFonts w:hint="eastAsia" w:ascii="宋体" w:hAnsi="宋体" w:cs="宋体"/>
          <w:color w:val="auto"/>
          <w:sz w:val="24"/>
        </w:rPr>
      </w:pPr>
    </w:p>
    <w:p w14:paraId="5D331BA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9D7F17">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39BA960E">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032955DF">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6EEFB55">
      <w:pPr>
        <w:adjustRightInd w:val="0"/>
        <w:snapToGrid w:val="0"/>
        <w:spacing w:line="360" w:lineRule="auto"/>
        <w:rPr>
          <w:rFonts w:hint="eastAsia" w:ascii="宋体" w:hAnsi="宋体" w:cs="宋体"/>
          <w:b/>
          <w:color w:val="auto"/>
          <w:sz w:val="28"/>
          <w:szCs w:val="28"/>
        </w:rPr>
      </w:pPr>
    </w:p>
    <w:p w14:paraId="23D97461">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6D173D33">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36169FC3">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68F540D2">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36001FA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6F3470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6F1225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5C72C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6F9276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2D73030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34B24CAD">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47A6804">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BFC6EF2">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054CE100">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7587F385">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0DC8F09C">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D3D85C2">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F9A78D9">
      <w:pPr>
        <w:adjustRightInd w:val="0"/>
        <w:snapToGrid w:val="0"/>
        <w:spacing w:line="360" w:lineRule="auto"/>
        <w:jc w:val="center"/>
        <w:rPr>
          <w:rFonts w:hint="eastAsia" w:ascii="宋体" w:hAnsi="宋体" w:cs="宋体"/>
          <w:b/>
          <w:color w:val="auto"/>
          <w:sz w:val="24"/>
          <w:szCs w:val="20"/>
        </w:rPr>
      </w:pPr>
    </w:p>
    <w:p w14:paraId="00AEF35C">
      <w:pPr>
        <w:adjustRightInd w:val="0"/>
        <w:snapToGrid w:val="0"/>
        <w:spacing w:line="360" w:lineRule="auto"/>
        <w:rPr>
          <w:rFonts w:hint="eastAsia" w:ascii="宋体" w:hAnsi="宋体" w:cs="宋体"/>
          <w:b/>
          <w:color w:val="auto"/>
          <w:sz w:val="24"/>
          <w:szCs w:val="20"/>
        </w:rPr>
      </w:pPr>
    </w:p>
    <w:p w14:paraId="43C11026">
      <w:pPr>
        <w:adjustRightInd w:val="0"/>
        <w:snapToGrid w:val="0"/>
        <w:spacing w:line="360" w:lineRule="auto"/>
        <w:rPr>
          <w:rFonts w:hint="eastAsia" w:ascii="宋体" w:hAnsi="宋体" w:cs="宋体"/>
          <w:b/>
          <w:color w:val="auto"/>
          <w:sz w:val="24"/>
          <w:szCs w:val="20"/>
        </w:rPr>
      </w:pPr>
    </w:p>
    <w:p w14:paraId="1E91EA51">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7195D7F0">
      <w:pPr>
        <w:adjustRightInd w:val="0"/>
        <w:snapToGrid w:val="0"/>
        <w:spacing w:line="360" w:lineRule="auto"/>
        <w:jc w:val="center"/>
        <w:rPr>
          <w:rFonts w:hint="eastAsia" w:ascii="宋体" w:hAnsi="宋体" w:cs="宋体"/>
          <w:b/>
          <w:color w:val="auto"/>
          <w:sz w:val="24"/>
          <w:szCs w:val="20"/>
        </w:rPr>
      </w:pPr>
    </w:p>
    <w:p w14:paraId="0509E40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6B0A1D41">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A1DD13E">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6F09C8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62E1A2C4">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396F680D">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21294289">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7247B201">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FD2A8F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42B0AF2E">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5FBE94EF">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3450EFDE">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56CAA50A">
      <w:pPr>
        <w:jc w:val="left"/>
        <w:rPr>
          <w:rFonts w:hint="eastAsia" w:ascii="宋体" w:hAnsi="宋体" w:eastAsia="宋体" w:cs="Times New Roman"/>
          <w:b w:val="0"/>
          <w:bCs w:val="0"/>
          <w:color w:val="auto"/>
          <w:kern w:val="2"/>
          <w:sz w:val="24"/>
          <w:szCs w:val="24"/>
          <w:lang w:val="en-US" w:eastAsia="zh-CN" w:bidi="ar-SA"/>
        </w:rPr>
      </w:pPr>
    </w:p>
    <w:p w14:paraId="367E257E">
      <w:pPr>
        <w:jc w:val="left"/>
        <w:rPr>
          <w:rFonts w:hint="eastAsia" w:ascii="宋体" w:hAnsi="宋体" w:eastAsia="宋体" w:cs="Times New Roman"/>
          <w:b w:val="0"/>
          <w:bCs w:val="0"/>
          <w:color w:val="auto"/>
          <w:kern w:val="2"/>
          <w:sz w:val="24"/>
          <w:szCs w:val="24"/>
          <w:lang w:val="en-US" w:eastAsia="zh-CN" w:bidi="ar-SA"/>
        </w:rPr>
      </w:pPr>
    </w:p>
    <w:p w14:paraId="4278AB8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073AFE">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13615D52">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2315B2F5">
      <w:pPr>
        <w:pStyle w:val="17"/>
        <w:rPr>
          <w:rFonts w:hint="eastAsia"/>
          <w:lang w:eastAsia="zh-CN"/>
        </w:rPr>
      </w:pPr>
    </w:p>
    <w:p w14:paraId="78E6FD22">
      <w:pPr>
        <w:spacing w:before="120" w:beforeLines="50" w:after="120" w:afterLines="50" w:line="276" w:lineRule="auto"/>
        <w:jc w:val="center"/>
        <w:rPr>
          <w:b/>
          <w:color w:val="auto"/>
          <w:sz w:val="24"/>
        </w:rPr>
      </w:pPr>
      <w:r>
        <w:rPr>
          <w:b/>
          <w:color w:val="auto"/>
          <w:sz w:val="24"/>
        </w:rPr>
        <w:t>采购需求响应/偏离表</w:t>
      </w:r>
    </w:p>
    <w:p w14:paraId="3623F803">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0AFD4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47B7826C">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6A9958CC">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51BAFDB">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53616095">
            <w:pPr>
              <w:adjustRightInd w:val="0"/>
              <w:snapToGrid w:val="0"/>
              <w:spacing w:before="50" w:line="360" w:lineRule="auto"/>
              <w:jc w:val="center"/>
              <w:rPr>
                <w:color w:val="auto"/>
              </w:rPr>
            </w:pPr>
            <w:r>
              <w:rPr>
                <w:color w:val="auto"/>
              </w:rPr>
              <w:t>投标文件应答</w:t>
            </w:r>
          </w:p>
        </w:tc>
        <w:tc>
          <w:tcPr>
            <w:tcW w:w="1513" w:type="dxa"/>
            <w:noWrap w:val="0"/>
            <w:vAlign w:val="center"/>
          </w:tcPr>
          <w:p w14:paraId="01BC7471">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4D270AE5">
            <w:pPr>
              <w:adjustRightInd w:val="0"/>
              <w:snapToGrid w:val="0"/>
              <w:spacing w:before="50" w:line="360" w:lineRule="auto"/>
              <w:ind w:left="-88" w:leftChars="-42"/>
              <w:jc w:val="center"/>
              <w:rPr>
                <w:color w:val="auto"/>
                <w:szCs w:val="21"/>
              </w:rPr>
            </w:pPr>
            <w:r>
              <w:rPr>
                <w:color w:val="auto"/>
                <w:szCs w:val="21"/>
              </w:rPr>
              <w:t>偏离说明</w:t>
            </w:r>
          </w:p>
        </w:tc>
      </w:tr>
      <w:tr w14:paraId="7B8E66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15F9C5E8">
            <w:pPr>
              <w:adjustRightInd w:val="0"/>
              <w:snapToGrid w:val="0"/>
              <w:spacing w:before="50" w:line="360" w:lineRule="auto"/>
              <w:ind w:left="-88" w:leftChars="-42"/>
              <w:jc w:val="center"/>
              <w:rPr>
                <w:color w:val="auto"/>
                <w:szCs w:val="21"/>
              </w:rPr>
            </w:pPr>
          </w:p>
        </w:tc>
        <w:tc>
          <w:tcPr>
            <w:tcW w:w="1877" w:type="dxa"/>
            <w:noWrap w:val="0"/>
            <w:vAlign w:val="center"/>
          </w:tcPr>
          <w:p w14:paraId="392C23DD">
            <w:pPr>
              <w:adjustRightInd w:val="0"/>
              <w:snapToGrid w:val="0"/>
              <w:spacing w:before="50" w:line="360" w:lineRule="auto"/>
              <w:ind w:left="-88" w:leftChars="-42"/>
              <w:jc w:val="center"/>
              <w:rPr>
                <w:color w:val="auto"/>
                <w:szCs w:val="21"/>
              </w:rPr>
            </w:pPr>
          </w:p>
        </w:tc>
        <w:tc>
          <w:tcPr>
            <w:tcW w:w="1671" w:type="dxa"/>
            <w:noWrap w:val="0"/>
            <w:vAlign w:val="center"/>
          </w:tcPr>
          <w:p w14:paraId="23CF0271">
            <w:pPr>
              <w:adjustRightInd w:val="0"/>
              <w:snapToGrid w:val="0"/>
              <w:spacing w:before="50" w:line="360" w:lineRule="auto"/>
              <w:ind w:left="-88" w:leftChars="-42"/>
              <w:jc w:val="center"/>
              <w:rPr>
                <w:color w:val="auto"/>
                <w:szCs w:val="21"/>
              </w:rPr>
            </w:pPr>
          </w:p>
        </w:tc>
        <w:tc>
          <w:tcPr>
            <w:tcW w:w="1608" w:type="dxa"/>
            <w:noWrap w:val="0"/>
            <w:vAlign w:val="center"/>
          </w:tcPr>
          <w:p w14:paraId="7B00A98E">
            <w:pPr>
              <w:adjustRightInd w:val="0"/>
              <w:snapToGrid w:val="0"/>
              <w:spacing w:before="50" w:line="360" w:lineRule="auto"/>
              <w:ind w:left="-88" w:leftChars="-42"/>
              <w:jc w:val="center"/>
              <w:rPr>
                <w:color w:val="auto"/>
                <w:szCs w:val="21"/>
              </w:rPr>
            </w:pPr>
          </w:p>
        </w:tc>
        <w:tc>
          <w:tcPr>
            <w:tcW w:w="1513" w:type="dxa"/>
            <w:noWrap w:val="0"/>
            <w:vAlign w:val="center"/>
          </w:tcPr>
          <w:p w14:paraId="0AD37B28">
            <w:pPr>
              <w:adjustRightInd w:val="0"/>
              <w:snapToGrid w:val="0"/>
              <w:spacing w:before="50" w:line="360" w:lineRule="auto"/>
              <w:ind w:left="-88" w:leftChars="-42"/>
              <w:jc w:val="center"/>
              <w:rPr>
                <w:color w:val="auto"/>
                <w:szCs w:val="21"/>
              </w:rPr>
            </w:pPr>
          </w:p>
        </w:tc>
        <w:tc>
          <w:tcPr>
            <w:tcW w:w="1061" w:type="dxa"/>
            <w:noWrap w:val="0"/>
            <w:vAlign w:val="center"/>
          </w:tcPr>
          <w:p w14:paraId="529D8C41">
            <w:pPr>
              <w:adjustRightInd w:val="0"/>
              <w:snapToGrid w:val="0"/>
              <w:spacing w:before="50" w:line="360" w:lineRule="auto"/>
              <w:ind w:left="-88" w:leftChars="-42"/>
              <w:jc w:val="center"/>
              <w:rPr>
                <w:color w:val="auto"/>
                <w:szCs w:val="21"/>
              </w:rPr>
            </w:pPr>
          </w:p>
        </w:tc>
      </w:tr>
      <w:tr w14:paraId="0DB2B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9B3537A">
            <w:pPr>
              <w:adjustRightInd w:val="0"/>
              <w:snapToGrid w:val="0"/>
              <w:spacing w:before="50" w:line="360" w:lineRule="auto"/>
              <w:ind w:left="-88" w:leftChars="-42"/>
              <w:jc w:val="center"/>
              <w:rPr>
                <w:color w:val="auto"/>
                <w:szCs w:val="21"/>
              </w:rPr>
            </w:pPr>
          </w:p>
        </w:tc>
        <w:tc>
          <w:tcPr>
            <w:tcW w:w="1877" w:type="dxa"/>
            <w:noWrap w:val="0"/>
            <w:vAlign w:val="center"/>
          </w:tcPr>
          <w:p w14:paraId="443263BA">
            <w:pPr>
              <w:adjustRightInd w:val="0"/>
              <w:snapToGrid w:val="0"/>
              <w:spacing w:before="50" w:line="360" w:lineRule="auto"/>
              <w:ind w:left="-88" w:leftChars="-42"/>
              <w:jc w:val="center"/>
              <w:rPr>
                <w:color w:val="auto"/>
                <w:szCs w:val="21"/>
              </w:rPr>
            </w:pPr>
          </w:p>
        </w:tc>
        <w:tc>
          <w:tcPr>
            <w:tcW w:w="1671" w:type="dxa"/>
            <w:noWrap w:val="0"/>
            <w:vAlign w:val="center"/>
          </w:tcPr>
          <w:p w14:paraId="52A94067">
            <w:pPr>
              <w:adjustRightInd w:val="0"/>
              <w:snapToGrid w:val="0"/>
              <w:spacing w:before="50" w:line="360" w:lineRule="auto"/>
              <w:ind w:left="-88" w:leftChars="-42"/>
              <w:jc w:val="center"/>
              <w:rPr>
                <w:color w:val="auto"/>
                <w:szCs w:val="21"/>
              </w:rPr>
            </w:pPr>
          </w:p>
        </w:tc>
        <w:tc>
          <w:tcPr>
            <w:tcW w:w="1608" w:type="dxa"/>
            <w:noWrap w:val="0"/>
            <w:vAlign w:val="center"/>
          </w:tcPr>
          <w:p w14:paraId="6ECCA732">
            <w:pPr>
              <w:adjustRightInd w:val="0"/>
              <w:snapToGrid w:val="0"/>
              <w:spacing w:before="50" w:line="360" w:lineRule="auto"/>
              <w:ind w:left="-88" w:leftChars="-42"/>
              <w:jc w:val="center"/>
              <w:rPr>
                <w:color w:val="auto"/>
                <w:szCs w:val="21"/>
              </w:rPr>
            </w:pPr>
          </w:p>
        </w:tc>
        <w:tc>
          <w:tcPr>
            <w:tcW w:w="1513" w:type="dxa"/>
            <w:noWrap w:val="0"/>
            <w:vAlign w:val="center"/>
          </w:tcPr>
          <w:p w14:paraId="462274B4">
            <w:pPr>
              <w:adjustRightInd w:val="0"/>
              <w:snapToGrid w:val="0"/>
              <w:spacing w:before="50" w:line="360" w:lineRule="auto"/>
              <w:ind w:left="-88" w:leftChars="-42"/>
              <w:jc w:val="center"/>
              <w:rPr>
                <w:color w:val="auto"/>
                <w:szCs w:val="21"/>
              </w:rPr>
            </w:pPr>
          </w:p>
        </w:tc>
        <w:tc>
          <w:tcPr>
            <w:tcW w:w="1061" w:type="dxa"/>
            <w:noWrap w:val="0"/>
            <w:vAlign w:val="center"/>
          </w:tcPr>
          <w:p w14:paraId="0E725F2C">
            <w:pPr>
              <w:adjustRightInd w:val="0"/>
              <w:snapToGrid w:val="0"/>
              <w:spacing w:before="50" w:line="360" w:lineRule="auto"/>
              <w:ind w:left="-88" w:leftChars="-42"/>
              <w:jc w:val="center"/>
              <w:rPr>
                <w:color w:val="auto"/>
                <w:szCs w:val="21"/>
              </w:rPr>
            </w:pPr>
          </w:p>
        </w:tc>
      </w:tr>
      <w:tr w14:paraId="4172A7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49B3BF3">
            <w:pPr>
              <w:adjustRightInd w:val="0"/>
              <w:snapToGrid w:val="0"/>
              <w:spacing w:before="50" w:line="360" w:lineRule="auto"/>
              <w:ind w:left="-88" w:leftChars="-42"/>
              <w:jc w:val="center"/>
              <w:rPr>
                <w:color w:val="auto"/>
                <w:szCs w:val="21"/>
              </w:rPr>
            </w:pPr>
          </w:p>
        </w:tc>
        <w:tc>
          <w:tcPr>
            <w:tcW w:w="1877" w:type="dxa"/>
            <w:noWrap w:val="0"/>
            <w:vAlign w:val="center"/>
          </w:tcPr>
          <w:p w14:paraId="50F13E98">
            <w:pPr>
              <w:adjustRightInd w:val="0"/>
              <w:snapToGrid w:val="0"/>
              <w:spacing w:before="50" w:line="360" w:lineRule="auto"/>
              <w:ind w:left="-88" w:leftChars="-42"/>
              <w:jc w:val="center"/>
              <w:rPr>
                <w:color w:val="auto"/>
                <w:szCs w:val="21"/>
              </w:rPr>
            </w:pPr>
          </w:p>
        </w:tc>
        <w:tc>
          <w:tcPr>
            <w:tcW w:w="1671" w:type="dxa"/>
            <w:noWrap w:val="0"/>
            <w:vAlign w:val="center"/>
          </w:tcPr>
          <w:p w14:paraId="7E1D6FCC">
            <w:pPr>
              <w:adjustRightInd w:val="0"/>
              <w:snapToGrid w:val="0"/>
              <w:spacing w:before="50" w:line="360" w:lineRule="auto"/>
              <w:ind w:left="-88" w:leftChars="-42"/>
              <w:jc w:val="center"/>
              <w:rPr>
                <w:color w:val="auto"/>
                <w:szCs w:val="21"/>
              </w:rPr>
            </w:pPr>
          </w:p>
        </w:tc>
        <w:tc>
          <w:tcPr>
            <w:tcW w:w="1608" w:type="dxa"/>
            <w:noWrap w:val="0"/>
            <w:vAlign w:val="center"/>
          </w:tcPr>
          <w:p w14:paraId="36B2B594">
            <w:pPr>
              <w:adjustRightInd w:val="0"/>
              <w:snapToGrid w:val="0"/>
              <w:spacing w:before="50" w:line="360" w:lineRule="auto"/>
              <w:ind w:left="-88" w:leftChars="-42"/>
              <w:jc w:val="center"/>
              <w:rPr>
                <w:color w:val="auto"/>
                <w:szCs w:val="21"/>
              </w:rPr>
            </w:pPr>
          </w:p>
        </w:tc>
        <w:tc>
          <w:tcPr>
            <w:tcW w:w="1513" w:type="dxa"/>
            <w:noWrap w:val="0"/>
            <w:vAlign w:val="center"/>
          </w:tcPr>
          <w:p w14:paraId="3101515A">
            <w:pPr>
              <w:adjustRightInd w:val="0"/>
              <w:snapToGrid w:val="0"/>
              <w:spacing w:before="50" w:line="360" w:lineRule="auto"/>
              <w:ind w:left="-88" w:leftChars="-42"/>
              <w:jc w:val="center"/>
              <w:rPr>
                <w:color w:val="auto"/>
                <w:szCs w:val="21"/>
              </w:rPr>
            </w:pPr>
          </w:p>
        </w:tc>
        <w:tc>
          <w:tcPr>
            <w:tcW w:w="1061" w:type="dxa"/>
            <w:noWrap w:val="0"/>
            <w:vAlign w:val="center"/>
          </w:tcPr>
          <w:p w14:paraId="227CF019">
            <w:pPr>
              <w:adjustRightInd w:val="0"/>
              <w:snapToGrid w:val="0"/>
              <w:spacing w:before="50" w:line="360" w:lineRule="auto"/>
              <w:ind w:left="-88" w:leftChars="-42"/>
              <w:jc w:val="center"/>
              <w:rPr>
                <w:color w:val="auto"/>
                <w:szCs w:val="21"/>
              </w:rPr>
            </w:pPr>
          </w:p>
        </w:tc>
      </w:tr>
      <w:tr w14:paraId="7E1A52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79645379">
            <w:pPr>
              <w:rPr>
                <w:b/>
                <w:color w:val="auto"/>
              </w:rPr>
            </w:pPr>
          </w:p>
        </w:tc>
      </w:tr>
    </w:tbl>
    <w:p w14:paraId="37BC78CB">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706D62E9">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35793618">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62212A7D">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本项目为综合评分法，所有参数必须在响应表中逐条应答。</w:t>
      </w:r>
    </w:p>
    <w:p w14:paraId="7495F60F">
      <w:pPr>
        <w:pStyle w:val="18"/>
        <w:rPr>
          <w:color w:val="auto"/>
        </w:rPr>
      </w:pPr>
    </w:p>
    <w:p w14:paraId="45DD946D">
      <w:pPr>
        <w:pStyle w:val="17"/>
        <w:rPr>
          <w:rFonts w:hint="eastAsia"/>
          <w:lang w:eastAsia="zh-CN"/>
        </w:rPr>
      </w:pPr>
    </w:p>
    <w:p w14:paraId="592F7DBB"/>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92FC7">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7CC904">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7CC904">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04CB1AD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D8BF">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C317D">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EC317D">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5C68B4DA">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B662">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9776F"/>
    <w:multiLevelType w:val="singleLevel"/>
    <w:tmpl w:val="8399776F"/>
    <w:lvl w:ilvl="0" w:tentative="0">
      <w:start w:val="3"/>
      <w:numFmt w:val="chineseCounting"/>
      <w:suff w:val="space"/>
      <w:lvlText w:val="第%1条"/>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EB67FE42"/>
    <w:multiLevelType w:val="singleLevel"/>
    <w:tmpl w:val="EB67FE4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E43FAE"/>
    <w:rsid w:val="04653F41"/>
    <w:rsid w:val="048850CC"/>
    <w:rsid w:val="04B72FC8"/>
    <w:rsid w:val="04F57A38"/>
    <w:rsid w:val="050719CA"/>
    <w:rsid w:val="06934BAA"/>
    <w:rsid w:val="06E91EC4"/>
    <w:rsid w:val="072C3CBA"/>
    <w:rsid w:val="07583825"/>
    <w:rsid w:val="086F75C9"/>
    <w:rsid w:val="09C0303A"/>
    <w:rsid w:val="0A3F4F3C"/>
    <w:rsid w:val="0A510573"/>
    <w:rsid w:val="0A6D3244"/>
    <w:rsid w:val="0A8A74D4"/>
    <w:rsid w:val="0CAD77BD"/>
    <w:rsid w:val="0E331420"/>
    <w:rsid w:val="0EDD1643"/>
    <w:rsid w:val="0FB9029C"/>
    <w:rsid w:val="10897B23"/>
    <w:rsid w:val="10914EF9"/>
    <w:rsid w:val="10B8663C"/>
    <w:rsid w:val="12080B62"/>
    <w:rsid w:val="12994AC5"/>
    <w:rsid w:val="129F447F"/>
    <w:rsid w:val="12C86253"/>
    <w:rsid w:val="1424680F"/>
    <w:rsid w:val="14E40477"/>
    <w:rsid w:val="15060AC8"/>
    <w:rsid w:val="15125EAE"/>
    <w:rsid w:val="15675A4C"/>
    <w:rsid w:val="17F91BB8"/>
    <w:rsid w:val="193E7D91"/>
    <w:rsid w:val="1943608F"/>
    <w:rsid w:val="19E40286"/>
    <w:rsid w:val="19E91315"/>
    <w:rsid w:val="1AF56B46"/>
    <w:rsid w:val="1C795D39"/>
    <w:rsid w:val="1C995471"/>
    <w:rsid w:val="1CDB42B8"/>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CF2BB7"/>
    <w:rsid w:val="28E81B29"/>
    <w:rsid w:val="28FD390A"/>
    <w:rsid w:val="29B45A41"/>
    <w:rsid w:val="2A174DA9"/>
    <w:rsid w:val="2AB010A8"/>
    <w:rsid w:val="2AC66F99"/>
    <w:rsid w:val="2C0A2E19"/>
    <w:rsid w:val="2C7642D0"/>
    <w:rsid w:val="2CC97A35"/>
    <w:rsid w:val="2CDC672B"/>
    <w:rsid w:val="2DD77C64"/>
    <w:rsid w:val="2DDA1E78"/>
    <w:rsid w:val="2DE00B8C"/>
    <w:rsid w:val="2EAC037F"/>
    <w:rsid w:val="2EB67A5C"/>
    <w:rsid w:val="302741D2"/>
    <w:rsid w:val="308B184D"/>
    <w:rsid w:val="309C1E01"/>
    <w:rsid w:val="30BB11DD"/>
    <w:rsid w:val="31F17CD1"/>
    <w:rsid w:val="324F4D43"/>
    <w:rsid w:val="33384C93"/>
    <w:rsid w:val="340F06E9"/>
    <w:rsid w:val="34754AFE"/>
    <w:rsid w:val="34C12F54"/>
    <w:rsid w:val="361110A5"/>
    <w:rsid w:val="362C6900"/>
    <w:rsid w:val="366241E2"/>
    <w:rsid w:val="36B66AAC"/>
    <w:rsid w:val="36E47928"/>
    <w:rsid w:val="372F7378"/>
    <w:rsid w:val="37BA0809"/>
    <w:rsid w:val="38FF7404"/>
    <w:rsid w:val="397348CD"/>
    <w:rsid w:val="3A8E0AB7"/>
    <w:rsid w:val="3A994AB7"/>
    <w:rsid w:val="3B3B544D"/>
    <w:rsid w:val="3B654F2B"/>
    <w:rsid w:val="3BB72BAE"/>
    <w:rsid w:val="3BBA2C40"/>
    <w:rsid w:val="3BFC7D2B"/>
    <w:rsid w:val="3C7C799C"/>
    <w:rsid w:val="3C8A61A4"/>
    <w:rsid w:val="3D5E17FF"/>
    <w:rsid w:val="3DF93413"/>
    <w:rsid w:val="3DFD1951"/>
    <w:rsid w:val="3E1F0DA4"/>
    <w:rsid w:val="3E584E51"/>
    <w:rsid w:val="3E6E70D5"/>
    <w:rsid w:val="3EBE1ADE"/>
    <w:rsid w:val="403B4B34"/>
    <w:rsid w:val="4140452A"/>
    <w:rsid w:val="414D7889"/>
    <w:rsid w:val="41BB0BAE"/>
    <w:rsid w:val="425629F5"/>
    <w:rsid w:val="4284152B"/>
    <w:rsid w:val="429A4992"/>
    <w:rsid w:val="435B161D"/>
    <w:rsid w:val="43B25DAC"/>
    <w:rsid w:val="44771DFD"/>
    <w:rsid w:val="45D569C3"/>
    <w:rsid w:val="4791030F"/>
    <w:rsid w:val="479B74B7"/>
    <w:rsid w:val="48735221"/>
    <w:rsid w:val="49E92B05"/>
    <w:rsid w:val="4A354E62"/>
    <w:rsid w:val="4AEE1A11"/>
    <w:rsid w:val="4B7F39F4"/>
    <w:rsid w:val="4BAE646F"/>
    <w:rsid w:val="4C4D6AA3"/>
    <w:rsid w:val="4CAC1559"/>
    <w:rsid w:val="4D754257"/>
    <w:rsid w:val="4DCD6AB3"/>
    <w:rsid w:val="4EE7662F"/>
    <w:rsid w:val="50216DCD"/>
    <w:rsid w:val="50540C20"/>
    <w:rsid w:val="506258C6"/>
    <w:rsid w:val="51AC28BD"/>
    <w:rsid w:val="52183ACC"/>
    <w:rsid w:val="521E2A7F"/>
    <w:rsid w:val="53B55872"/>
    <w:rsid w:val="544055F2"/>
    <w:rsid w:val="54AD4386"/>
    <w:rsid w:val="55D8243C"/>
    <w:rsid w:val="56551179"/>
    <w:rsid w:val="581A7C72"/>
    <w:rsid w:val="583A4BD7"/>
    <w:rsid w:val="59C51B68"/>
    <w:rsid w:val="59C74B1F"/>
    <w:rsid w:val="5A886F59"/>
    <w:rsid w:val="5DA208DD"/>
    <w:rsid w:val="5DB23133"/>
    <w:rsid w:val="604D5946"/>
    <w:rsid w:val="611B6B1B"/>
    <w:rsid w:val="62C222C2"/>
    <w:rsid w:val="632D7C40"/>
    <w:rsid w:val="64133D6A"/>
    <w:rsid w:val="64245572"/>
    <w:rsid w:val="66C30AF5"/>
    <w:rsid w:val="672737CD"/>
    <w:rsid w:val="678E4F5D"/>
    <w:rsid w:val="67F3562A"/>
    <w:rsid w:val="680E122C"/>
    <w:rsid w:val="69EC3F9D"/>
    <w:rsid w:val="6A4E1D63"/>
    <w:rsid w:val="6AA026F2"/>
    <w:rsid w:val="6ACA059E"/>
    <w:rsid w:val="6B592423"/>
    <w:rsid w:val="6C486FE4"/>
    <w:rsid w:val="6CA409DF"/>
    <w:rsid w:val="6DE375E4"/>
    <w:rsid w:val="6E8E5287"/>
    <w:rsid w:val="6FAC3B48"/>
    <w:rsid w:val="6FAD463B"/>
    <w:rsid w:val="6FBE332C"/>
    <w:rsid w:val="70CE0BC9"/>
    <w:rsid w:val="71554367"/>
    <w:rsid w:val="71584067"/>
    <w:rsid w:val="71F26E91"/>
    <w:rsid w:val="72931CE4"/>
    <w:rsid w:val="735201FF"/>
    <w:rsid w:val="737B50A4"/>
    <w:rsid w:val="73F40E72"/>
    <w:rsid w:val="74566F5C"/>
    <w:rsid w:val="750117A8"/>
    <w:rsid w:val="755B2270"/>
    <w:rsid w:val="75E27514"/>
    <w:rsid w:val="7612420D"/>
    <w:rsid w:val="76920D75"/>
    <w:rsid w:val="76C47877"/>
    <w:rsid w:val="77423DFF"/>
    <w:rsid w:val="783B5EA9"/>
    <w:rsid w:val="79EB699D"/>
    <w:rsid w:val="79F871CC"/>
    <w:rsid w:val="7AFF5E62"/>
    <w:rsid w:val="7B0620DE"/>
    <w:rsid w:val="7BBF44BB"/>
    <w:rsid w:val="7BF15CE4"/>
    <w:rsid w:val="7C3A27E5"/>
    <w:rsid w:val="7D9727DD"/>
    <w:rsid w:val="7DCB30EB"/>
    <w:rsid w:val="7E2F518C"/>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Date"/>
    <w:basedOn w:val="1"/>
    <w:next w:val="1"/>
    <w:qFormat/>
    <w:uiPriority w:val="0"/>
    <w:rPr>
      <w:color w:val="000000"/>
      <w:kern w:val="0"/>
      <w:sz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20"/>
    <w:rPr>
      <w:i/>
    </w:rPr>
  </w:style>
  <w:style w:type="paragraph" w:customStyle="1" w:styleId="14">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5">
    <w:name w:val="Default"/>
    <w:next w:val="1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大标题"/>
    <w:basedOn w:val="1"/>
    <w:next w:val="9"/>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BodyText1I2"/>
    <w:basedOn w:val="21"/>
    <w:qFormat/>
    <w:uiPriority w:val="0"/>
    <w:pPr>
      <w:ind w:firstLine="420"/>
      <w:jc w:val="left"/>
    </w:pPr>
    <w:rPr>
      <w:rFonts w:ascii="Calibri" w:hAnsi="Calibri"/>
      <w:kern w:val="0"/>
    </w:rPr>
  </w:style>
  <w:style w:type="paragraph" w:customStyle="1" w:styleId="21">
    <w:name w:val="BodyText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6903</Words>
  <Characters>7272</Characters>
  <Lines>0</Lines>
  <Paragraphs>0</Paragraphs>
  <TotalTime>0</TotalTime>
  <ScaleCrop>false</ScaleCrop>
  <LinksUpToDate>false</LinksUpToDate>
  <CharactersWithSpaces>7612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德普</cp:lastModifiedBy>
  <dcterms:modified xsi:type="dcterms:W3CDTF">2026-03-16T07:16:11Z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F71EE5138EF04B3C9875547DCF35EC78_13</vt:lpwstr>
  </property>
  <property fmtid="{D5CDD505-2E9C-101B-9397-08002B2CF9AE}" pid="4" name="KSOTemplateDocerSaveRecord">
    <vt:lpwstr>eyJoZGlkIjoiOWU3YmMxNGQ0NDE0NTRiYjQ3MWFkZjk1MWM2MTc2NWEiLCJ1c2VySWQiOiI0NDIzNjcyODQifQ==</vt:lpwstr>
  </property>
</Properties>
</file>