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5"/>
        <w:snapToGrid w:val="0"/>
        <w:jc w:val="center"/>
        <w:rPr>
          <w:rFonts w:hint="eastAsia" w:ascii="Arial" w:hAnsi="Arial" w:eastAsia="方正小标宋简体" w:cs="Arial"/>
          <w:sz w:val="72"/>
          <w:szCs w:val="72"/>
        </w:rPr>
      </w:pPr>
      <w:bookmarkStart w:id="0" w:name="_Toc16523570"/>
    </w:p>
    <w:p w14:paraId="1B95787E">
      <w:pPr>
        <w:pStyle w:val="5"/>
        <w:snapToGrid w:val="0"/>
        <w:jc w:val="center"/>
        <w:rPr>
          <w:rFonts w:hint="eastAsia" w:ascii="Arial" w:hAnsi="Arial" w:eastAsia="方正小标宋简体" w:cs="Arial"/>
          <w:sz w:val="72"/>
          <w:szCs w:val="72"/>
        </w:rPr>
      </w:pPr>
      <w:r>
        <w:rPr>
          <w:rFonts w:hint="eastAsia" w:ascii="Arial" w:hAnsi="Arial" w:eastAsia="方正小标宋简体" w:cs="Arial"/>
          <w:sz w:val="72"/>
          <w:szCs w:val="72"/>
        </w:rPr>
        <w:t>娄底市中心医院</w:t>
      </w:r>
    </w:p>
    <w:p w14:paraId="75F3B684">
      <w:pPr>
        <w:pStyle w:val="5"/>
        <w:snapToGrid w:val="0"/>
        <w:jc w:val="center"/>
        <w:rPr>
          <w:rFonts w:hint="eastAsia" w:ascii="Arial" w:hAnsi="Arial" w:eastAsia="方正小标宋简体" w:cs="Arial"/>
          <w:sz w:val="72"/>
          <w:szCs w:val="72"/>
        </w:rPr>
      </w:pPr>
    </w:p>
    <w:p w14:paraId="65C368DD">
      <w:pPr>
        <w:pStyle w:val="5"/>
        <w:snapToGrid w:val="0"/>
        <w:jc w:val="center"/>
        <w:rPr>
          <w:rFonts w:hint="eastAsia" w:ascii="Arial" w:hAnsi="Arial" w:eastAsia="方正小标宋简体" w:cs="Arial"/>
          <w:sz w:val="72"/>
          <w:szCs w:val="72"/>
        </w:rPr>
      </w:pPr>
    </w:p>
    <w:p w14:paraId="11616A47">
      <w:pPr>
        <w:pStyle w:val="5"/>
        <w:snapToGrid w:val="0"/>
        <w:jc w:val="center"/>
        <w:rPr>
          <w:rFonts w:hint="eastAsia" w:ascii="Arial" w:hAnsi="Arial" w:eastAsia="方正小标宋简体" w:cs="Arial"/>
          <w:sz w:val="72"/>
          <w:szCs w:val="72"/>
        </w:rPr>
      </w:pPr>
    </w:p>
    <w:p w14:paraId="39F8D380">
      <w:pPr>
        <w:pStyle w:val="5"/>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37F791A7">
      <w:pPr>
        <w:pStyle w:val="5"/>
        <w:snapToGrid w:val="0"/>
        <w:jc w:val="center"/>
        <w:rPr>
          <w:rFonts w:ascii="Arial" w:hAnsi="Arial" w:cs="Arial"/>
          <w:sz w:val="32"/>
          <w:szCs w:val="32"/>
        </w:rPr>
      </w:pPr>
    </w:p>
    <w:p w14:paraId="409EB72F">
      <w:pPr>
        <w:pStyle w:val="18"/>
        <w:rPr>
          <w:rFonts w:ascii="Arial" w:hAnsi="Arial" w:cs="Arial"/>
          <w:sz w:val="32"/>
          <w:szCs w:val="32"/>
        </w:rPr>
      </w:pPr>
    </w:p>
    <w:p w14:paraId="668BDAFE">
      <w:pPr>
        <w:pStyle w:val="13"/>
        <w:rPr>
          <w:rFonts w:ascii="Arial" w:hAnsi="Arial" w:cs="Arial"/>
          <w:sz w:val="32"/>
          <w:szCs w:val="32"/>
        </w:rPr>
      </w:pPr>
    </w:p>
    <w:p w14:paraId="30B28264">
      <w:pPr>
        <w:pStyle w:val="13"/>
        <w:rPr>
          <w:rFonts w:ascii="Arial" w:hAnsi="Arial" w:cs="Arial"/>
          <w:sz w:val="32"/>
          <w:szCs w:val="32"/>
        </w:rPr>
      </w:pPr>
    </w:p>
    <w:p w14:paraId="45C922C2">
      <w:pPr>
        <w:pStyle w:val="13"/>
        <w:rPr>
          <w:rFonts w:ascii="Arial" w:hAnsi="Arial" w:cs="Arial"/>
          <w:sz w:val="32"/>
          <w:szCs w:val="32"/>
        </w:rPr>
      </w:pPr>
    </w:p>
    <w:p w14:paraId="0233B328">
      <w:pPr>
        <w:pStyle w:val="13"/>
        <w:rPr>
          <w:rFonts w:ascii="Arial" w:hAnsi="Arial" w:cs="Arial"/>
          <w:sz w:val="32"/>
          <w:szCs w:val="32"/>
        </w:rPr>
      </w:pPr>
    </w:p>
    <w:p w14:paraId="65E4BC6C">
      <w:pPr>
        <w:pStyle w:val="13"/>
        <w:rPr>
          <w:rFonts w:ascii="Arial" w:hAnsi="Arial" w:cs="Arial"/>
          <w:sz w:val="32"/>
          <w:szCs w:val="32"/>
        </w:rPr>
      </w:pPr>
    </w:p>
    <w:p w14:paraId="7577245D">
      <w:pPr>
        <w:pStyle w:val="13"/>
        <w:rPr>
          <w:rFonts w:ascii="Arial" w:hAnsi="Arial" w:cs="Arial"/>
          <w:sz w:val="32"/>
          <w:szCs w:val="32"/>
        </w:rPr>
      </w:pPr>
    </w:p>
    <w:p w14:paraId="5337F494">
      <w:pPr>
        <w:pStyle w:val="13"/>
        <w:rPr>
          <w:rFonts w:ascii="Arial" w:hAnsi="Arial" w:cs="Arial"/>
          <w:sz w:val="32"/>
          <w:szCs w:val="32"/>
        </w:rPr>
      </w:pPr>
    </w:p>
    <w:p w14:paraId="0A4AE94E">
      <w:pPr>
        <w:pStyle w:val="5"/>
        <w:snapToGrid w:val="0"/>
        <w:jc w:val="center"/>
        <w:rPr>
          <w:rFonts w:ascii="Arial" w:hAnsi="Arial" w:cs="Arial"/>
          <w:sz w:val="32"/>
          <w:szCs w:val="32"/>
        </w:rPr>
      </w:pPr>
    </w:p>
    <w:p w14:paraId="13C7226F">
      <w:pPr>
        <w:pStyle w:val="5"/>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w:t>
      </w:r>
      <w:r>
        <w:rPr>
          <w:rFonts w:hint="eastAsia" w:cs="Times New Roman"/>
          <w:b/>
          <w:bCs/>
          <w:kern w:val="44"/>
          <w:sz w:val="32"/>
          <w:szCs w:val="32"/>
          <w:lang w:val="en-US" w:eastAsia="zh-CN" w:bidi="ar-SA"/>
        </w:rPr>
        <w:t>全省检查检验互认平台医保专线</w:t>
      </w:r>
      <w:r>
        <w:rPr>
          <w:rFonts w:hint="eastAsia"/>
          <w:bCs/>
          <w:sz w:val="32"/>
          <w:szCs w:val="32"/>
          <w:lang w:val="en-US" w:eastAsia="zh-CN"/>
        </w:rPr>
        <w:t>采购项目</w:t>
      </w:r>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三</w:t>
      </w:r>
      <w:r>
        <w:rPr>
          <w:rFonts w:hint="eastAsia" w:ascii="宋体" w:hAnsi="宋体" w:cs="宋体"/>
          <w:bCs/>
          <w:sz w:val="32"/>
          <w:szCs w:val="32"/>
        </w:rPr>
        <w:t>月</w:t>
      </w:r>
    </w:p>
    <w:p w14:paraId="43FCB49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02230438">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全省检查检验互认平台医保专线</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全省检查检验互认平台医保专线</w:t>
      </w:r>
      <w:r>
        <w:rPr>
          <w:rFonts w:hint="eastAsia" w:asciiTheme="minorEastAsia" w:hAnsiTheme="minorEastAsia" w:eastAsiaTheme="minorEastAsia" w:cstheme="minorEastAsia"/>
          <w:b w:val="0"/>
          <w:bCs/>
          <w:color w:val="auto"/>
          <w:sz w:val="24"/>
          <w:szCs w:val="24"/>
          <w:lang w:val="en-US" w:eastAsia="zh-CN"/>
        </w:rPr>
        <w:t>项目</w:t>
      </w:r>
    </w:p>
    <w:p w14:paraId="0CDBF21C">
      <w:pPr>
        <w:pStyle w:val="5"/>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18"/>
        <w:rPr>
          <w:rFonts w:hint="eastAsia"/>
          <w:lang w:val="en-US" w:eastAsia="zh-CN"/>
        </w:rPr>
      </w:pPr>
    </w:p>
    <w:p w14:paraId="7E250597">
      <w:pPr>
        <w:pStyle w:val="18"/>
        <w:jc w:val="both"/>
        <w:rPr>
          <w:rFonts w:hint="default"/>
          <w:lang w:val="en-US" w:eastAsia="zh-CN"/>
        </w:rPr>
      </w:pPr>
    </w:p>
    <w:p w14:paraId="22CD3DC2">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F41F978">
      <w:pPr>
        <w:pStyle w:val="18"/>
        <w:rPr>
          <w:rFonts w:hint="eastAsia" w:ascii="宋体" w:hAnsi="宋体" w:cs="宋体"/>
          <w:b/>
          <w:bCs/>
          <w:color w:val="auto"/>
          <w:sz w:val="44"/>
          <w:szCs w:val="44"/>
          <w:lang w:val="en-US" w:eastAsia="zh-CN"/>
        </w:rPr>
      </w:pPr>
    </w:p>
    <w:p w14:paraId="6DFDBEAA">
      <w:pPr>
        <w:pStyle w:val="13"/>
        <w:rPr>
          <w:rFonts w:hint="eastAsia" w:ascii="宋体" w:hAnsi="宋体" w:cs="宋体"/>
          <w:b/>
          <w:bCs/>
          <w:color w:val="auto"/>
          <w:sz w:val="44"/>
          <w:szCs w:val="44"/>
          <w:lang w:val="en-US" w:eastAsia="zh-CN"/>
        </w:rPr>
      </w:pPr>
    </w:p>
    <w:p w14:paraId="30F94F1D">
      <w:pPr>
        <w:rPr>
          <w:rFonts w:hint="eastAsia" w:ascii="宋体" w:hAnsi="宋体" w:cs="宋体"/>
          <w:b/>
          <w:bCs/>
          <w:color w:val="auto"/>
          <w:sz w:val="44"/>
          <w:szCs w:val="44"/>
          <w:lang w:val="en-US" w:eastAsia="zh-CN"/>
        </w:rPr>
      </w:pPr>
    </w:p>
    <w:p w14:paraId="102811BE">
      <w:pPr>
        <w:pStyle w:val="17"/>
        <w:rPr>
          <w:rFonts w:hint="eastAsia"/>
          <w:lang w:val="en-US" w:eastAsia="zh-CN"/>
        </w:rPr>
      </w:pPr>
    </w:p>
    <w:p w14:paraId="04DC7BC4">
      <w:pPr>
        <w:pStyle w:val="2"/>
        <w:rPr>
          <w:rFonts w:hint="eastAsia" w:ascii="宋体" w:hAnsi="宋体" w:cs="宋体"/>
          <w:b/>
          <w:bCs/>
          <w:color w:val="auto"/>
          <w:sz w:val="44"/>
          <w:szCs w:val="44"/>
          <w:lang w:val="en-US" w:eastAsia="zh-CN"/>
        </w:rPr>
      </w:pPr>
    </w:p>
    <w:p w14:paraId="127EFE5C">
      <w:pPr>
        <w:rPr>
          <w:rFonts w:hint="eastAsia" w:ascii="宋体" w:hAnsi="宋体" w:cs="宋体"/>
          <w:b/>
          <w:bCs/>
          <w:color w:val="auto"/>
          <w:sz w:val="44"/>
          <w:szCs w:val="44"/>
          <w:lang w:val="en-US" w:eastAsia="zh-CN"/>
        </w:rPr>
      </w:pPr>
    </w:p>
    <w:p w14:paraId="4A7B14FC">
      <w:pPr>
        <w:rPr>
          <w:rFonts w:hint="eastAsia" w:ascii="宋体" w:hAnsi="宋体" w:cs="宋体"/>
          <w:b/>
          <w:bCs/>
          <w:color w:val="auto"/>
          <w:sz w:val="44"/>
          <w:szCs w:val="44"/>
          <w:lang w:val="en-US" w:eastAsia="zh-CN"/>
        </w:rPr>
      </w:pPr>
    </w:p>
    <w:p w14:paraId="05DE6F3A">
      <w:pPr>
        <w:rPr>
          <w:rFonts w:hint="eastAsia"/>
          <w:lang w:val="en-US" w:eastAsia="zh-CN"/>
        </w:rPr>
      </w:pPr>
    </w:p>
    <w:p w14:paraId="28624900">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4"/>
        <w:tblW w:w="7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tblGrid>
      <w:tr w14:paraId="38AB9E0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9E0CB90">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4A50A28">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设备</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37C3FB8">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服务</w:t>
            </w:r>
            <w:bookmarkStart w:id="4" w:name="_GoBack"/>
            <w:bookmarkEnd w:id="4"/>
            <w:r>
              <w:rPr>
                <w:rFonts w:hint="eastAsia" w:asciiTheme="minorEastAsia" w:hAnsiTheme="minorEastAsia" w:eastAsiaTheme="minorEastAsia" w:cstheme="minorEastAsia"/>
                <w:kern w:val="2"/>
                <w:sz w:val="24"/>
                <w:szCs w:val="24"/>
                <w:lang w:val="en-US" w:eastAsia="zh-CN"/>
              </w:rPr>
              <w:t>年限（年）</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D78E54A">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14:paraId="69DE814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508FB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17944EF">
            <w:pPr>
              <w:keepNext w:val="0"/>
              <w:keepLines w:val="0"/>
              <w:widowControl/>
              <w:suppressLineNumbers w:val="0"/>
              <w:jc w:val="center"/>
              <w:textAlignment w:val="center"/>
              <w:rPr>
                <w:rFonts w:hint="eastAsia" w:asciiTheme="minorEastAsia" w:hAnsiTheme="minorEastAsia" w:eastAsiaTheme="minorEastAsia" w:cstheme="minorEastAsia"/>
                <w:kern w:val="2"/>
                <w:sz w:val="24"/>
                <w:szCs w:val="24"/>
                <w:lang w:val="en-US" w:eastAsia="zh-CN" w:bidi="ar-SA"/>
              </w:rPr>
            </w:pPr>
            <w:r>
              <w:rPr>
                <w:rFonts w:hint="eastAsia" w:ascii="CESI仿宋-GB2312" w:hAnsi="CESI仿宋-GB2312" w:eastAsia="CESI仿宋-GB2312" w:cs="CESI仿宋-GB2312"/>
                <w:kern w:val="2"/>
                <w:sz w:val="28"/>
                <w:szCs w:val="28"/>
                <w:lang w:val="en-US" w:eastAsia="zh-CN" w:bidi="ar-SA"/>
              </w:rPr>
              <w:t>500M (IPRAN)全省检查检验互认平台医保专线</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3D717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9EAF0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7.5</w:t>
            </w:r>
          </w:p>
        </w:tc>
      </w:tr>
    </w:tbl>
    <w:p w14:paraId="737A1F41">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14:paraId="3F5CDA95">
      <w:pPr>
        <w:pStyle w:val="13"/>
        <w:keepNext w:val="0"/>
        <w:keepLines w:val="0"/>
        <w:pageBreakBefore w:val="0"/>
        <w:widowControl w:val="0"/>
        <w:kinsoku/>
        <w:wordWrap/>
        <w:overflowPunct w:val="0"/>
        <w:topLinePunct w:val="0"/>
        <w:autoSpaceDE/>
        <w:autoSpaceDN/>
        <w:bidi w:val="0"/>
        <w:adjustRightInd w:val="0"/>
        <w:snapToGrid/>
        <w:spacing w:line="360" w:lineRule="auto"/>
        <w:ind w:left="0"/>
        <w:textAlignment w:val="baseline"/>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1、中标人应在本合同签订之日起3日内完成全省检查检验互认平台医保专线实施、调试，并向采购人提交有关测试数据报告。</w:t>
      </w:r>
    </w:p>
    <w:p w14:paraId="0DB0B6FE">
      <w:pPr>
        <w:pStyle w:val="13"/>
        <w:keepNext w:val="0"/>
        <w:keepLines w:val="0"/>
        <w:pageBreakBefore w:val="0"/>
        <w:widowControl w:val="0"/>
        <w:kinsoku/>
        <w:wordWrap/>
        <w:overflowPunct w:val="0"/>
        <w:topLinePunct w:val="0"/>
        <w:autoSpaceDE/>
        <w:autoSpaceDN/>
        <w:bidi w:val="0"/>
        <w:adjustRightInd w:val="0"/>
        <w:snapToGrid/>
        <w:spacing w:line="360" w:lineRule="auto"/>
        <w:ind w:left="0"/>
        <w:textAlignment w:val="baseline"/>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2、中标人提供端到端的综合性信息服务，并为采购人提供全省检查检验互认平台医保专线业务咨询、组网建议等服务。</w:t>
      </w:r>
    </w:p>
    <w:p w14:paraId="619CB5DE">
      <w:pPr>
        <w:pStyle w:val="13"/>
        <w:keepNext w:val="0"/>
        <w:keepLines w:val="0"/>
        <w:pageBreakBefore w:val="0"/>
        <w:widowControl w:val="0"/>
        <w:kinsoku/>
        <w:wordWrap/>
        <w:overflowPunct w:val="0"/>
        <w:topLinePunct w:val="0"/>
        <w:autoSpaceDE/>
        <w:autoSpaceDN/>
        <w:bidi w:val="0"/>
        <w:adjustRightInd w:val="0"/>
        <w:snapToGrid/>
        <w:spacing w:line="360" w:lineRule="auto"/>
        <w:ind w:left="0"/>
        <w:textAlignment w:val="baseline"/>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3、中标人提供的服务质量及服务具体标准应参照工业和信息化部颁布的《电信服务规范》施行。</w:t>
      </w:r>
    </w:p>
    <w:p w14:paraId="12530A96">
      <w:pPr>
        <w:pStyle w:val="13"/>
        <w:keepNext w:val="0"/>
        <w:keepLines w:val="0"/>
        <w:pageBreakBefore w:val="0"/>
        <w:widowControl w:val="0"/>
        <w:kinsoku/>
        <w:wordWrap/>
        <w:overflowPunct w:val="0"/>
        <w:topLinePunct w:val="0"/>
        <w:autoSpaceDE/>
        <w:autoSpaceDN/>
        <w:bidi w:val="0"/>
        <w:adjustRightInd w:val="0"/>
        <w:snapToGrid/>
        <w:spacing w:line="360" w:lineRule="auto"/>
        <w:ind w:left="0"/>
        <w:textAlignment w:val="baseline"/>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中标人保证采购人租用全省检查检验互认平台医保专线服务的畅通和负责免费日常维护，承诺在接到采购人维护通知时及时响应，除线路中断外的故障应在接到通知后8小时内修复，线路中断故障在24小时内修复。</w:t>
      </w:r>
    </w:p>
    <w:p w14:paraId="2DD07293">
      <w:pPr>
        <w:pStyle w:val="13"/>
        <w:keepNext w:val="0"/>
        <w:keepLines w:val="0"/>
        <w:pageBreakBefore w:val="0"/>
        <w:widowControl w:val="0"/>
        <w:kinsoku/>
        <w:wordWrap/>
        <w:overflowPunct w:val="0"/>
        <w:topLinePunct w:val="0"/>
        <w:autoSpaceDE/>
        <w:autoSpaceDN/>
        <w:bidi w:val="0"/>
        <w:adjustRightInd w:val="0"/>
        <w:snapToGrid/>
        <w:spacing w:line="360" w:lineRule="auto"/>
        <w:ind w:left="0"/>
        <w:textAlignment w:val="baseline"/>
        <w:rPr>
          <w:rFonts w:hint="default"/>
          <w:sz w:val="24"/>
          <w:szCs w:val="24"/>
          <w:lang w:val="en-US" w:eastAsia="zh-CN"/>
        </w:rPr>
      </w:pPr>
      <w:r>
        <w:rPr>
          <w:rFonts w:hint="eastAsia" w:asciiTheme="minorEastAsia" w:hAnsiTheme="minorEastAsia" w:eastAsiaTheme="minorEastAsia" w:cstheme="minorEastAsia"/>
          <w:b w:val="0"/>
          <w:bCs/>
          <w:color w:val="auto"/>
          <w:kern w:val="0"/>
          <w:sz w:val="24"/>
          <w:szCs w:val="24"/>
          <w:lang w:val="en-US" w:eastAsia="zh-CN" w:bidi="ar-SA"/>
        </w:rPr>
        <w:t>5、采购人在每合同年度届满之日起10个工作日内，将该年度服务费通过银行转账支付给中标人。</w:t>
      </w:r>
    </w:p>
    <w:p w14:paraId="002EA66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44DA858E">
      <w:pPr>
        <w:keepNext w:val="0"/>
        <w:keepLines w:val="0"/>
        <w:pageBreakBefore w:val="0"/>
        <w:widowControl w:val="0"/>
        <w:wordWrap/>
        <w:overflowPunct/>
        <w:topLinePunct w:val="0"/>
        <w:bidi w:val="0"/>
        <w:spacing w:line="460" w:lineRule="exact"/>
        <w:ind w:right="0" w:firstLine="5520" w:firstLineChars="2300"/>
        <w:jc w:val="both"/>
        <w:rPr>
          <w:rFonts w:hint="eastAsia" w:ascii="仿宋_GB2312" w:hAnsi="仿宋_GB2312" w:eastAsia="仿宋_GB2312" w:cs="仿宋_GB2312"/>
          <w:b w:val="0"/>
          <w:bCs w:val="0"/>
          <w:color w:val="000000" w:themeColor="text1"/>
          <w:kern w:val="0"/>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eastAsia="仿宋_GB2312" w:cs="仿宋_GB2312"/>
          <w:bCs/>
          <w:color w:val="auto"/>
          <w:kern w:val="0"/>
          <w:sz w:val="28"/>
          <w:szCs w:val="28"/>
          <w:lang w:val="en-US" w:eastAsia="zh-CN" w:bidi="ar-SA"/>
        </w:rPr>
        <w:t xml:space="preserve">               </w:t>
      </w:r>
      <w:r>
        <w:rPr>
          <w:rFonts w:hint="eastAsia" w:ascii="仿宋_GB2312" w:hAnsi="仿宋_GB2312" w:eastAsia="仿宋_GB2312" w:cs="仿宋_GB2312"/>
          <w:b w:val="0"/>
          <w:bCs w:val="0"/>
          <w:color w:val="000000" w:themeColor="text1"/>
          <w:kern w:val="0"/>
          <w:sz w:val="28"/>
          <w:szCs w:val="28"/>
          <w:lang w:val="en-US" w:eastAsia="zh-CN"/>
          <w14:textFill>
            <w14:solidFill>
              <w14:schemeClr w14:val="tx1"/>
            </w14:solidFill>
          </w14:textFill>
        </w:rPr>
        <w:t>合同编号：</w:t>
      </w:r>
    </w:p>
    <w:p w14:paraId="2B9640DB">
      <w:pPr>
        <w:keepNext w:val="0"/>
        <w:keepLines w:val="0"/>
        <w:pageBreakBefore w:val="0"/>
        <w:widowControl w:val="0"/>
        <w:wordWrap/>
        <w:overflowPunct/>
        <w:topLinePunct w:val="0"/>
        <w:bidi w:val="0"/>
        <w:spacing w:line="460" w:lineRule="exact"/>
        <w:ind w:left="0" w:leftChars="0" w:right="0"/>
        <w:jc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全省检查检验互认平台医保专线</w:t>
      </w:r>
    </w:p>
    <w:p w14:paraId="4278EF22">
      <w:pPr>
        <w:keepNext w:val="0"/>
        <w:keepLines w:val="0"/>
        <w:pageBreakBefore w:val="0"/>
        <w:widowControl w:val="0"/>
        <w:wordWrap/>
        <w:overflowPunct/>
        <w:topLinePunct w:val="0"/>
        <w:bidi w:val="0"/>
        <w:spacing w:line="460" w:lineRule="exact"/>
        <w:ind w:left="0" w:leftChars="0" w:right="0"/>
        <w:jc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租赁</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服务</w:t>
      </w: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合同</w:t>
      </w:r>
    </w:p>
    <w:p w14:paraId="110A88E5">
      <w:pPr>
        <w:pStyle w:val="11"/>
        <w:keepNext w:val="0"/>
        <w:keepLines w:val="0"/>
        <w:pageBreakBefore w:val="0"/>
        <w:widowControl w:val="0"/>
        <w:wordWrap/>
        <w:overflowPunct/>
        <w:topLinePunct w:val="0"/>
        <w:bidi w:val="0"/>
        <w:spacing w:after="0" w:line="460" w:lineRule="exact"/>
        <w:ind w:left="0" w:leftChars="0" w:right="0"/>
        <w:rPr>
          <w:rFonts w:hint="eastAsia"/>
          <w:color w:val="000000" w:themeColor="text1"/>
          <w:lang w:val="en-US" w:eastAsia="zh-CN"/>
          <w14:textFill>
            <w14:solidFill>
              <w14:schemeClr w14:val="tx1"/>
            </w14:solidFill>
          </w14:textFill>
        </w:rPr>
      </w:pPr>
    </w:p>
    <w:p w14:paraId="5983351F">
      <w:pPr>
        <w:keepNext w:val="0"/>
        <w:keepLines w:val="0"/>
        <w:pageBreakBefore w:val="0"/>
        <w:widowControl w:val="0"/>
        <w:wordWrap/>
        <w:overflowPunct/>
        <w:topLinePunct w:val="0"/>
        <w:bidi w:val="0"/>
        <w:spacing w:line="460" w:lineRule="exact"/>
        <w:ind w:left="0" w:leftChars="0" w:right="0"/>
        <w:rPr>
          <w:rFonts w:hint="eastAsia" w:ascii="仿宋" w:hAnsi="仿宋" w:eastAsia="仿宋" w:cs="仿宋"/>
          <w:b w:val="0"/>
          <w:bCs w:val="0"/>
          <w:color w:val="000000" w:themeColor="text1"/>
          <w:sz w:val="28"/>
          <w:szCs w:val="28"/>
          <w:u w:val="single"/>
          <w:lang w:val="en-US" w:eastAsia="zh-CN"/>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甲方</w:t>
      </w:r>
      <w:r>
        <w:rPr>
          <w:rFonts w:hint="eastAsia" w:ascii="仿宋" w:hAnsi="仿宋" w:eastAsia="仿宋" w:cs="仿宋"/>
          <w:b/>
          <w:bCs/>
          <w:color w:val="000000" w:themeColor="text1"/>
          <w:sz w:val="28"/>
          <w:szCs w:val="28"/>
          <w:lang w:eastAsia="zh-CN"/>
          <w14:textFill>
            <w14:solidFill>
              <w14:schemeClr w14:val="tx1"/>
            </w14:solidFill>
          </w14:textFill>
        </w:rPr>
        <w:t>：</w:t>
      </w:r>
      <w:r>
        <w:rPr>
          <w:rFonts w:hint="eastAsia" w:ascii="仿宋" w:hAnsi="仿宋" w:eastAsia="仿宋" w:cs="仿宋"/>
          <w:b w:val="0"/>
          <w:bCs w:val="0"/>
          <w:color w:val="000000" w:themeColor="text1"/>
          <w:sz w:val="28"/>
          <w:szCs w:val="28"/>
          <w:u w:val="single"/>
          <w:lang w:val="en-US" w:eastAsia="zh-CN"/>
          <w14:textFill>
            <w14:solidFill>
              <w14:schemeClr w14:val="tx1"/>
            </w14:solidFill>
          </w14:textFill>
        </w:rPr>
        <w:t>娄底市中心医院</w:t>
      </w:r>
    </w:p>
    <w:p w14:paraId="6681FCA5">
      <w:pPr>
        <w:keepNext w:val="0"/>
        <w:keepLines w:val="0"/>
        <w:pageBreakBefore w:val="0"/>
        <w:widowControl w:val="0"/>
        <w:tabs>
          <w:tab w:val="left" w:pos="720"/>
        </w:tabs>
        <w:kinsoku/>
        <w:wordWrap/>
        <w:overflowPunct/>
        <w:topLinePunct w:val="0"/>
        <w:autoSpaceDE w:val="0"/>
        <w:autoSpaceDN w:val="0"/>
        <w:bidi w:val="0"/>
        <w:adjustRightInd w:val="0"/>
        <w:snapToGrid/>
        <w:spacing w:line="460" w:lineRule="exact"/>
        <w:ind w:left="0" w:leftChars="0" w:right="0" w:firstLine="0" w:firstLineChars="0"/>
        <w:jc w:val="left"/>
        <w:textAlignment w:val="auto"/>
        <w:rPr>
          <w:rFonts w:hint="default" w:ascii="仿宋_GB2312" w:hAnsi="仿宋_GB2312" w:eastAsia="仿宋_GB2312" w:cs="仿宋_GB2312"/>
          <w:b w:val="0"/>
          <w:bCs w:val="0"/>
          <w:color w:val="000000" w:themeColor="text1"/>
          <w:kern w:val="0"/>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28"/>
          <w:szCs w:val="28"/>
          <w:lang w:val="en-US" w:eastAsia="zh-CN"/>
          <w14:textFill>
            <w14:solidFill>
              <w14:schemeClr w14:val="tx1"/>
            </w14:solidFill>
          </w14:textFill>
        </w:rPr>
        <w:t>法定代表人：杨吉军</w:t>
      </w:r>
    </w:p>
    <w:p w14:paraId="7C072400">
      <w:pPr>
        <w:keepNext w:val="0"/>
        <w:keepLines w:val="0"/>
        <w:pageBreakBefore w:val="0"/>
        <w:widowControl w:val="0"/>
        <w:tabs>
          <w:tab w:val="left" w:pos="720"/>
        </w:tabs>
        <w:kinsoku/>
        <w:wordWrap/>
        <w:overflowPunct/>
        <w:topLinePunct w:val="0"/>
        <w:autoSpaceDE w:val="0"/>
        <w:autoSpaceDN w:val="0"/>
        <w:bidi w:val="0"/>
        <w:adjustRightInd w:val="0"/>
        <w:snapToGrid/>
        <w:spacing w:line="460" w:lineRule="exact"/>
        <w:ind w:left="0" w:leftChars="0" w:right="0" w:firstLine="0" w:firstLineChars="0"/>
        <w:jc w:val="left"/>
        <w:textAlignment w:val="auto"/>
        <w:rPr>
          <w:rFonts w:hint="eastAsia" w:ascii="仿宋_GB2312" w:hAnsi="仿宋_GB2312" w:eastAsia="仿宋_GB2312" w:cs="仿宋_GB2312"/>
          <w:b w:val="0"/>
          <w:bCs w:val="0"/>
          <w:color w:val="000000" w:themeColor="text1"/>
          <w:kern w:val="0"/>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28"/>
          <w:szCs w:val="28"/>
          <w:lang w:val="en-US" w:eastAsia="zh-CN"/>
          <w14:textFill>
            <w14:solidFill>
              <w14:schemeClr w14:val="tx1"/>
            </w14:solidFill>
          </w14:textFill>
        </w:rPr>
        <w:t>统一社会信用代码：12431300447162073W</w:t>
      </w:r>
    </w:p>
    <w:p w14:paraId="55E91A90">
      <w:pPr>
        <w:keepNext w:val="0"/>
        <w:keepLines w:val="0"/>
        <w:pageBreakBefore w:val="0"/>
        <w:widowControl w:val="0"/>
        <w:tabs>
          <w:tab w:val="left" w:pos="720"/>
        </w:tabs>
        <w:kinsoku/>
        <w:wordWrap/>
        <w:overflowPunct/>
        <w:topLinePunct w:val="0"/>
        <w:autoSpaceDE w:val="0"/>
        <w:autoSpaceDN w:val="0"/>
        <w:bidi w:val="0"/>
        <w:adjustRightInd w:val="0"/>
        <w:snapToGrid/>
        <w:spacing w:line="460" w:lineRule="exact"/>
        <w:ind w:left="0" w:leftChars="0" w:right="0" w:firstLine="0" w:firstLineChars="0"/>
        <w:jc w:val="left"/>
        <w:textAlignment w:val="auto"/>
        <w:rPr>
          <w:rFonts w:hint="eastAsia" w:ascii="仿宋_GB2312" w:hAnsi="仿宋_GB2312" w:eastAsia="仿宋_GB2312" w:cs="仿宋_GB2312"/>
          <w:b w:val="0"/>
          <w:bCs w:val="0"/>
          <w:color w:val="000000" w:themeColor="text1"/>
          <w:kern w:val="0"/>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28"/>
          <w:szCs w:val="28"/>
          <w:lang w:val="en-US" w:eastAsia="zh-CN"/>
          <w14:textFill>
            <w14:solidFill>
              <w14:schemeClr w14:val="tx1"/>
            </w14:solidFill>
          </w14:textFill>
        </w:rPr>
        <w:t>地址：娄底市娄星区长青中街51号</w:t>
      </w:r>
    </w:p>
    <w:p w14:paraId="7FC466AF">
      <w:pPr>
        <w:pStyle w:val="13"/>
        <w:keepNext w:val="0"/>
        <w:keepLines w:val="0"/>
        <w:pageBreakBefore w:val="0"/>
        <w:widowControl w:val="0"/>
        <w:wordWrap/>
        <w:overflowPunct/>
        <w:topLinePunct w:val="0"/>
        <w:bidi w:val="0"/>
        <w:spacing w:after="0" w:line="460" w:lineRule="exact"/>
        <w:ind w:left="0" w:leftChars="0" w:right="0"/>
        <w:rPr>
          <w:rFonts w:hint="eastAsia"/>
          <w:color w:val="000000" w:themeColor="text1"/>
          <w:lang w:val="en-US" w:eastAsia="zh-CN"/>
          <w14:textFill>
            <w14:solidFill>
              <w14:schemeClr w14:val="tx1"/>
            </w14:solidFill>
          </w14:textFill>
        </w:rPr>
      </w:pPr>
    </w:p>
    <w:p w14:paraId="7DAC0279">
      <w:pPr>
        <w:keepNext w:val="0"/>
        <w:keepLines w:val="0"/>
        <w:pageBreakBefore w:val="0"/>
        <w:widowControl w:val="0"/>
        <w:wordWrap/>
        <w:overflowPunct/>
        <w:topLinePunct w:val="0"/>
        <w:bidi w:val="0"/>
        <w:spacing w:line="460" w:lineRule="exact"/>
        <w:ind w:left="0" w:leftChars="0" w:right="0"/>
        <w:rPr>
          <w:rFonts w:hint="default" w:ascii="仿宋" w:hAnsi="仿宋" w:eastAsia="仿宋" w:cs="仿宋"/>
          <w:color w:val="000000" w:themeColor="text1"/>
          <w:sz w:val="28"/>
          <w:szCs w:val="28"/>
          <w:u w:val="single"/>
          <w:lang w:val="en-US" w:eastAsia="zh-CN"/>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乙方</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p>
    <w:p w14:paraId="5FF04E08">
      <w:pPr>
        <w:keepNext w:val="0"/>
        <w:keepLines w:val="0"/>
        <w:pageBreakBefore w:val="0"/>
        <w:widowControl w:val="0"/>
        <w:tabs>
          <w:tab w:val="left" w:pos="720"/>
        </w:tabs>
        <w:kinsoku/>
        <w:wordWrap/>
        <w:overflowPunct/>
        <w:topLinePunct w:val="0"/>
        <w:autoSpaceDE w:val="0"/>
        <w:autoSpaceDN w:val="0"/>
        <w:bidi w:val="0"/>
        <w:adjustRightInd w:val="0"/>
        <w:snapToGrid/>
        <w:spacing w:line="460" w:lineRule="exact"/>
        <w:ind w:left="0" w:leftChars="0" w:right="0" w:firstLine="0" w:firstLineChars="0"/>
        <w:jc w:val="left"/>
        <w:textAlignment w:val="auto"/>
        <w:rPr>
          <w:rFonts w:hint="default" w:ascii="仿宋_GB2312" w:hAnsi="仿宋_GB2312" w:eastAsia="仿宋_GB2312" w:cs="仿宋_GB2312"/>
          <w:b w:val="0"/>
          <w:bCs w:val="0"/>
          <w:color w:val="000000" w:themeColor="text1"/>
          <w:kern w:val="0"/>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28"/>
          <w:szCs w:val="28"/>
          <w:lang w:val="zh-CN"/>
          <w14:textFill>
            <w14:solidFill>
              <w14:schemeClr w14:val="tx1"/>
            </w14:solidFill>
          </w14:textFill>
        </w:rPr>
        <w:t>法定代表人：</w:t>
      </w:r>
      <w:r>
        <w:rPr>
          <w:rFonts w:hint="eastAsia" w:ascii="仿宋_GB2312" w:hAnsi="仿宋_GB2312" w:eastAsia="仿宋_GB2312" w:cs="仿宋_GB2312"/>
          <w:b w:val="0"/>
          <w:bCs w:val="0"/>
          <w:color w:val="000000" w:themeColor="text1"/>
          <w:kern w:val="0"/>
          <w:sz w:val="28"/>
          <w:szCs w:val="28"/>
          <w:lang w:val="en-US" w:eastAsia="zh-CN"/>
          <w14:textFill>
            <w14:solidFill>
              <w14:schemeClr w14:val="tx1"/>
            </w14:solidFill>
          </w14:textFill>
        </w:rPr>
        <w:t xml:space="preserve">       </w:t>
      </w:r>
    </w:p>
    <w:p w14:paraId="22B1612D">
      <w:pPr>
        <w:keepNext w:val="0"/>
        <w:keepLines w:val="0"/>
        <w:pageBreakBefore w:val="0"/>
        <w:widowControl w:val="0"/>
        <w:tabs>
          <w:tab w:val="left" w:pos="720"/>
        </w:tabs>
        <w:kinsoku/>
        <w:wordWrap/>
        <w:overflowPunct/>
        <w:topLinePunct w:val="0"/>
        <w:autoSpaceDE w:val="0"/>
        <w:autoSpaceDN w:val="0"/>
        <w:bidi w:val="0"/>
        <w:adjustRightInd w:val="0"/>
        <w:snapToGrid/>
        <w:spacing w:line="460" w:lineRule="exact"/>
        <w:ind w:left="0" w:leftChars="0" w:right="0" w:firstLine="0" w:firstLineChars="0"/>
        <w:jc w:val="left"/>
        <w:textAlignment w:val="auto"/>
        <w:rPr>
          <w:rFonts w:hint="eastAsia" w:ascii="仿宋_GB2312" w:hAnsi="仿宋_GB2312" w:eastAsia="仿宋_GB2312" w:cs="仿宋_GB2312"/>
          <w:b w:val="0"/>
          <w:bCs w:val="0"/>
          <w:color w:val="000000" w:themeColor="text1"/>
          <w:kern w:val="0"/>
          <w:sz w:val="28"/>
          <w:szCs w:val="28"/>
          <w:lang w:val="zh-CN"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28"/>
          <w:szCs w:val="28"/>
          <w:lang w:val="zh-CN" w:eastAsia="zh-CN"/>
          <w14:textFill>
            <w14:solidFill>
              <w14:schemeClr w14:val="tx1"/>
            </w14:solidFill>
          </w14:textFill>
        </w:rPr>
        <w:t>统一社会信用代码：</w:t>
      </w:r>
    </w:p>
    <w:p w14:paraId="124B29F9">
      <w:pPr>
        <w:keepNext w:val="0"/>
        <w:keepLines w:val="0"/>
        <w:pageBreakBefore w:val="0"/>
        <w:widowControl w:val="0"/>
        <w:tabs>
          <w:tab w:val="left" w:pos="720"/>
        </w:tabs>
        <w:kinsoku/>
        <w:wordWrap/>
        <w:overflowPunct/>
        <w:topLinePunct w:val="0"/>
        <w:autoSpaceDE w:val="0"/>
        <w:autoSpaceDN w:val="0"/>
        <w:bidi w:val="0"/>
        <w:adjustRightInd w:val="0"/>
        <w:snapToGrid/>
        <w:spacing w:line="460" w:lineRule="exact"/>
        <w:ind w:left="0" w:leftChars="0" w:right="0" w:firstLine="0" w:firstLineChars="0"/>
        <w:jc w:val="left"/>
        <w:textAlignment w:val="auto"/>
        <w:rPr>
          <w:rFonts w:hint="eastAsia" w:ascii="仿宋_GB2312" w:hAnsi="仿宋_GB2312" w:eastAsia="仿宋_GB2312" w:cs="仿宋_GB2312"/>
          <w:b w:val="0"/>
          <w:bCs w:val="0"/>
          <w:color w:val="000000" w:themeColor="text1"/>
          <w:kern w:val="0"/>
          <w:sz w:val="28"/>
          <w:szCs w:val="28"/>
          <w:lang w:val="zh-CN"/>
          <w14:textFill>
            <w14:solidFill>
              <w14:schemeClr w14:val="tx1"/>
            </w14:solidFill>
          </w14:textFill>
        </w:rPr>
      </w:pPr>
      <w:r>
        <w:rPr>
          <w:rFonts w:hint="eastAsia" w:ascii="仿宋_GB2312" w:hAnsi="仿宋_GB2312" w:eastAsia="仿宋_GB2312" w:cs="仿宋_GB2312"/>
          <w:b w:val="0"/>
          <w:bCs w:val="0"/>
          <w:color w:val="000000" w:themeColor="text1"/>
          <w:kern w:val="0"/>
          <w:sz w:val="28"/>
          <w:szCs w:val="28"/>
          <w:lang w:val="zh-CN"/>
          <w14:textFill>
            <w14:solidFill>
              <w14:schemeClr w14:val="tx1"/>
            </w14:solidFill>
          </w14:textFill>
        </w:rPr>
        <w:t>地址：</w:t>
      </w:r>
    </w:p>
    <w:p w14:paraId="3417EA26">
      <w:pPr>
        <w:pStyle w:val="11"/>
        <w:keepNext w:val="0"/>
        <w:keepLines w:val="0"/>
        <w:pageBreakBefore w:val="0"/>
        <w:widowControl w:val="0"/>
        <w:wordWrap/>
        <w:overflowPunct/>
        <w:topLinePunct w:val="0"/>
        <w:bidi w:val="0"/>
        <w:spacing w:after="0" w:line="460" w:lineRule="exact"/>
        <w:ind w:left="0" w:leftChars="0" w:right="0"/>
        <w:rPr>
          <w:rFonts w:hint="eastAsia"/>
          <w:color w:val="000000" w:themeColor="text1"/>
          <w:lang w:val="en-US" w:eastAsia="zh-CN"/>
          <w14:textFill>
            <w14:solidFill>
              <w14:schemeClr w14:val="tx1"/>
            </w14:solidFill>
          </w14:textFill>
        </w:rPr>
      </w:pPr>
    </w:p>
    <w:p w14:paraId="23405E7A">
      <w:pPr>
        <w:keepNext w:val="0"/>
        <w:keepLines w:val="0"/>
        <w:pageBreakBefore w:val="0"/>
        <w:widowControl w:val="0"/>
        <w:kinsoku/>
        <w:wordWrap w:val="0"/>
        <w:overflowPunct/>
        <w:topLinePunct/>
        <w:autoSpaceDE/>
        <w:autoSpaceDN/>
        <w:bidi w:val="0"/>
        <w:adjustRightInd/>
        <w:snapToGrid/>
        <w:spacing w:line="480" w:lineRule="exact"/>
        <w:ind w:left="0" w:leftChars="0" w:right="0" w:firstLine="560" w:firstLineChars="200"/>
        <w:jc w:val="both"/>
        <w:textAlignment w:val="auto"/>
        <w:rPr>
          <w:rFonts w:hint="default"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甲方通过</w:t>
      </w:r>
      <w:r>
        <w:rPr>
          <w:rFonts w:hint="eastAsia" w:ascii="仿宋_GB2312" w:hAnsi="仿宋_GB2312" w:eastAsia="仿宋_GB2312" w:cs="仿宋_GB2312"/>
          <w:color w:val="0000FF"/>
          <w:kern w:val="2"/>
          <w:sz w:val="28"/>
          <w:szCs w:val="28"/>
          <w:u w:val="single"/>
          <w:lang w:val="en-US" w:eastAsia="zh-CN" w:bidi="ar-SA"/>
        </w:rPr>
        <w:t>医院</w:t>
      </w:r>
      <w:r>
        <w:rPr>
          <w:rFonts w:hint="eastAsia" w:ascii="仿宋" w:hAnsi="仿宋" w:eastAsia="仿宋" w:cs="仿宋"/>
          <w:b w:val="0"/>
          <w:bCs w:val="0"/>
          <w:color w:val="000000" w:themeColor="text1"/>
          <w:sz w:val="28"/>
          <w:szCs w:val="28"/>
          <w:u w:val="single"/>
          <w:lang w:val="en-US" w:eastAsia="zh-CN"/>
          <w14:textFill>
            <w14:solidFill>
              <w14:schemeClr w14:val="tx1"/>
            </w14:solidFill>
          </w14:textFill>
        </w:rPr>
        <w:t>院内议价</w:t>
      </w: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方式采购全省检查检验互认平台医保专线，选定乙方为服务商。现甲乙双方本着互惠互利的原则，就全省检查检验互认平台医保专线租赁事宜协商一致，特订立本合同，以资共同遵守。</w:t>
      </w:r>
    </w:p>
    <w:p w14:paraId="14602E1C">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2" w:firstLineChars="200"/>
        <w:textAlignment w:val="baseline"/>
        <w:rPr>
          <w:rFonts w:hint="eastAsia" w:ascii="仿宋_GB2312" w:hAnsi="仿宋_GB2312" w:eastAsia="仿宋_GB2312" w:cs="仿宋_GB2312"/>
          <w:b/>
          <w:bCs/>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8"/>
          <w:szCs w:val="28"/>
          <w:lang w:val="en-US" w:eastAsia="zh-CN" w:bidi="ar-SA"/>
          <w14:textFill>
            <w14:solidFill>
              <w14:schemeClr w14:val="tx1"/>
            </w14:solidFill>
          </w14:textFill>
        </w:rPr>
        <w:t>第一条 服务内容、要求、接入点</w:t>
      </w:r>
    </w:p>
    <w:p w14:paraId="2615976D">
      <w:pPr>
        <w:keepNext w:val="0"/>
        <w:keepLines w:val="0"/>
        <w:pageBreakBefore w:val="0"/>
        <w:widowControl w:val="0"/>
        <w:kinsoku/>
        <w:wordWrap w:val="0"/>
        <w:overflowPunct/>
        <w:topLinePunct/>
        <w:autoSpaceDE/>
        <w:autoSpaceDN/>
        <w:bidi w:val="0"/>
        <w:adjustRightInd/>
        <w:snapToGrid/>
        <w:spacing w:line="480" w:lineRule="exact"/>
        <w:ind w:left="0" w:leftChars="0" w:right="0" w:firstLine="560" w:firstLineChars="200"/>
        <w:jc w:val="both"/>
        <w:textAlignment w:val="auto"/>
        <w:rPr>
          <w:rFonts w:hint="default" w:ascii="仿宋" w:hAnsi="仿宋" w:eastAsia="仿宋" w:cs="仿宋"/>
          <w:b w:val="0"/>
          <w:bCs w:val="0"/>
          <w:color w:val="000000" w:themeColor="text1"/>
          <w:sz w:val="28"/>
          <w:szCs w:val="28"/>
          <w:u w:val="single"/>
          <w:lang w:val="en-US" w:eastAsia="zh-CN"/>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1.1 服务内容：乙方提供一条带宽为</w:t>
      </w:r>
      <w:r>
        <w:rPr>
          <w:rFonts w:hint="eastAsia" w:ascii="仿宋" w:hAnsi="仿宋" w:eastAsia="仿宋" w:cs="仿宋"/>
          <w:b w:val="0"/>
          <w:bCs w:val="0"/>
          <w:color w:val="000000" w:themeColor="text1"/>
          <w:sz w:val="28"/>
          <w:szCs w:val="28"/>
          <w:u w:val="single"/>
          <w:lang w:val="en-US" w:eastAsia="zh-CN"/>
          <w14:textFill>
            <w14:solidFill>
              <w14:schemeClr w14:val="tx1"/>
            </w14:solidFill>
          </w14:textFill>
        </w:rPr>
        <w:t>500M（IPRAN）</w:t>
      </w: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的全省检查检验互认平台医保专线服务给甲方，专门用于甲方</w:t>
      </w:r>
      <w:r>
        <w:rPr>
          <w:rFonts w:hint="eastAsia" w:ascii="仿宋" w:hAnsi="仿宋" w:eastAsia="仿宋" w:cs="仿宋"/>
          <w:b w:val="0"/>
          <w:bCs w:val="0"/>
          <w:color w:val="000000" w:themeColor="text1"/>
          <w:sz w:val="28"/>
          <w:szCs w:val="28"/>
          <w:u w:val="single"/>
          <w:lang w:val="en-US" w:eastAsia="zh-CN"/>
          <w14:textFill>
            <w14:solidFill>
              <w14:schemeClr w14:val="tx1"/>
            </w14:solidFill>
          </w14:textFill>
        </w:rPr>
        <w:t>接入全省检查检验互认平台。</w:t>
      </w:r>
    </w:p>
    <w:p w14:paraId="252E2EF9">
      <w:pPr>
        <w:pStyle w:val="7"/>
        <w:keepNext w:val="0"/>
        <w:keepLines w:val="0"/>
        <w:pageBreakBefore w:val="0"/>
        <w:widowControl w:val="0"/>
        <w:kinsoku/>
        <w:wordWrap w:val="0"/>
        <w:overflowPunct/>
        <w:topLinePunct/>
        <w:autoSpaceDE/>
        <w:autoSpaceDN/>
        <w:bidi w:val="0"/>
        <w:adjustRightInd w:val="0"/>
        <w:snapToGrid w:val="0"/>
        <w:spacing w:line="480" w:lineRule="exact"/>
        <w:ind w:left="0" w:leftChars="0" w:right="0" w:firstLine="560" w:firstLineChars="200"/>
        <w:textAlignment w:val="baseline"/>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1.2 服务要求：</w:t>
      </w:r>
    </w:p>
    <w:p w14:paraId="49B59E7C">
      <w:pPr>
        <w:pStyle w:val="7"/>
        <w:keepNext w:val="0"/>
        <w:keepLines w:val="0"/>
        <w:pageBreakBefore w:val="0"/>
        <w:widowControl w:val="0"/>
        <w:kinsoku/>
        <w:wordWrap w:val="0"/>
        <w:overflowPunct/>
        <w:topLinePunct/>
        <w:autoSpaceDE/>
        <w:autoSpaceDN/>
        <w:bidi w:val="0"/>
        <w:adjustRightInd w:val="0"/>
        <w:snapToGrid w:val="0"/>
        <w:spacing w:line="480" w:lineRule="exact"/>
        <w:ind w:left="0" w:leftChars="0" w:right="0" w:firstLine="560" w:firstLineChars="200"/>
        <w:textAlignment w:val="baseline"/>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1.2.1 乙方提供端到端的综合性信息服务，并为甲方提供线路业务咨询、组网建议等服务。</w:t>
      </w:r>
    </w:p>
    <w:p w14:paraId="7FED9482">
      <w:pPr>
        <w:pStyle w:val="7"/>
        <w:keepNext w:val="0"/>
        <w:keepLines w:val="0"/>
        <w:pageBreakBefore w:val="0"/>
        <w:widowControl w:val="0"/>
        <w:kinsoku/>
        <w:wordWrap w:val="0"/>
        <w:overflowPunct/>
        <w:topLinePunct/>
        <w:autoSpaceDE/>
        <w:autoSpaceDN/>
        <w:bidi w:val="0"/>
        <w:adjustRightInd w:val="0"/>
        <w:snapToGrid w:val="0"/>
        <w:spacing w:line="480" w:lineRule="exact"/>
        <w:ind w:left="0" w:leftChars="0" w:right="0" w:firstLine="560" w:firstLineChars="200"/>
        <w:textAlignment w:val="baseline"/>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1.2.2 乙方提供的服务质量及服务具体标准应参照工业和信息化部颁布的《电信服务规范》施行。</w:t>
      </w:r>
    </w:p>
    <w:p w14:paraId="6E57F0BA">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1.3 服务接入点</w:t>
      </w:r>
    </w:p>
    <w:p w14:paraId="28B13900">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default" w:ascii="仿宋_GB2312" w:hAnsi="仿宋_GB2312" w:eastAsia="仿宋_GB2312" w:cs="仿宋_GB2312"/>
          <w:color w:val="000000" w:themeColor="text1"/>
          <w:kern w:val="2"/>
          <w:sz w:val="28"/>
          <w:szCs w:val="28"/>
          <w:u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起点地址：</w:t>
      </w:r>
      <w:r>
        <w:rPr>
          <w:rFonts w:hint="eastAsia" w:ascii="仿宋_GB2312" w:hAnsi="仿宋_GB2312" w:eastAsia="仿宋_GB2312" w:cs="仿宋_GB2312"/>
          <w:color w:val="000000" w:themeColor="text1"/>
          <w:kern w:val="2"/>
          <w:sz w:val="28"/>
          <w:szCs w:val="28"/>
          <w:u w:val="single"/>
          <w:lang w:val="en-US" w:eastAsia="zh-CN" w:bidi="ar-SA"/>
          <w14:textFill>
            <w14:solidFill>
              <w14:schemeClr w14:val="tx1"/>
            </w14:solidFill>
          </w14:textFill>
        </w:rPr>
        <w:t>娄底市中心医院院内机房</w:t>
      </w:r>
    </w:p>
    <w:p w14:paraId="42EBD564">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default" w:ascii="仿宋_GB2312" w:hAnsi="仿宋_GB2312" w:eastAsia="仿宋_GB2312" w:cs="仿宋_GB2312"/>
          <w:color w:val="000000" w:themeColor="text1"/>
          <w:kern w:val="2"/>
          <w:sz w:val="28"/>
          <w:szCs w:val="28"/>
          <w:u w:val="singl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终点地址：</w:t>
      </w:r>
      <w:r>
        <w:rPr>
          <w:rFonts w:hint="eastAsia" w:ascii="仿宋_GB2312" w:hAnsi="仿宋_GB2312" w:eastAsia="仿宋_GB2312" w:cs="仿宋_GB2312"/>
          <w:color w:val="000000" w:themeColor="text1"/>
          <w:kern w:val="2"/>
          <w:sz w:val="28"/>
          <w:szCs w:val="28"/>
          <w:u w:val="single"/>
          <w:lang w:val="en-US" w:eastAsia="zh-CN" w:bidi="ar-SA"/>
          <w14:textFill>
            <w14:solidFill>
              <w14:schemeClr w14:val="tx1"/>
            </w14:solidFill>
          </w14:textFill>
        </w:rPr>
        <w:t>市影像云池节点</w:t>
      </w:r>
    </w:p>
    <w:p w14:paraId="78924A64">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2" w:firstLineChars="200"/>
        <w:textAlignment w:val="baseline"/>
        <w:rPr>
          <w:rFonts w:hint="eastAsia" w:ascii="仿宋_GB2312" w:hAnsi="仿宋_GB2312" w:eastAsia="仿宋_GB2312" w:cs="仿宋_GB2312"/>
          <w:b/>
          <w:bCs/>
          <w:color w:val="000000" w:themeColor="text1"/>
          <w:kern w:val="2"/>
          <w:sz w:val="28"/>
          <w:szCs w:val="28"/>
          <w:u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8"/>
          <w:szCs w:val="28"/>
          <w:lang w:val="en-US" w:eastAsia="zh-CN" w:bidi="ar-SA"/>
          <w14:textFill>
            <w14:solidFill>
              <w14:schemeClr w14:val="tx1"/>
            </w14:solidFill>
          </w14:textFill>
        </w:rPr>
        <w:t>第二条 租赁</w:t>
      </w:r>
      <w:r>
        <w:rPr>
          <w:rFonts w:hint="eastAsia" w:ascii="仿宋_GB2312" w:hAnsi="仿宋_GB2312" w:eastAsia="仿宋_GB2312" w:cs="仿宋_GB2312"/>
          <w:b/>
          <w:bCs/>
          <w:color w:val="000000" w:themeColor="text1"/>
          <w:kern w:val="2"/>
          <w:sz w:val="28"/>
          <w:szCs w:val="28"/>
          <w:u w:val="none"/>
          <w:lang w:val="en-US" w:eastAsia="zh-CN" w:bidi="ar-SA"/>
          <w14:textFill>
            <w14:solidFill>
              <w14:schemeClr w14:val="tx1"/>
            </w14:solidFill>
          </w14:textFill>
        </w:rPr>
        <w:t>期限</w:t>
      </w:r>
    </w:p>
    <w:p w14:paraId="78E9DD2F">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本合同租赁期限为</w:t>
      </w:r>
      <w:r>
        <w:rPr>
          <w:rFonts w:hint="eastAsia" w:ascii="仿宋_GB2312" w:hAnsi="仿宋_GB2312" w:eastAsia="仿宋_GB2312" w:cs="仿宋_GB2312"/>
          <w:color w:val="0000FF"/>
          <w:kern w:val="2"/>
          <w:sz w:val="28"/>
          <w:szCs w:val="28"/>
          <w:u w:val="single"/>
          <w:lang w:val="en-US" w:eastAsia="zh-CN" w:bidi="ar-SA"/>
        </w:rPr>
        <w:t>叁</w:t>
      </w: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年，自甲方书面确认全省检查检验互认平台医保专线开通之日起开始计算。</w:t>
      </w:r>
    </w:p>
    <w:p w14:paraId="11CCC630">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2" w:firstLineChars="200"/>
        <w:textAlignment w:val="baseline"/>
        <w:rPr>
          <w:rFonts w:hint="eastAsia" w:ascii="仿宋_GB2312" w:hAnsi="仿宋_GB2312" w:eastAsia="仿宋_GB2312" w:cs="仿宋_GB2312"/>
          <w:b/>
          <w:bCs/>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8"/>
          <w:szCs w:val="28"/>
          <w:lang w:val="en-US" w:eastAsia="zh-CN" w:bidi="ar-SA"/>
          <w14:textFill>
            <w14:solidFill>
              <w14:schemeClr w14:val="tx1"/>
            </w14:solidFill>
          </w14:textFill>
        </w:rPr>
        <w:t>第三条 费用支付方式及支付时间</w:t>
      </w:r>
    </w:p>
    <w:p w14:paraId="0BEFD49B">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3.1 租赁服务费用标准为人民币</w:t>
      </w:r>
      <w:r>
        <w:rPr>
          <w:rFonts w:hint="eastAsia" w:ascii="仿宋_GB2312" w:hAnsi="仿宋_GB2312" w:eastAsia="仿宋_GB2312" w:cs="仿宋_GB2312"/>
          <w:color w:val="000000" w:themeColor="text1"/>
          <w:kern w:val="2"/>
          <w:sz w:val="28"/>
          <w:szCs w:val="28"/>
          <w:u w:val="single"/>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元/年，</w:t>
      </w:r>
      <w:r>
        <w:rPr>
          <w:rFonts w:hint="eastAsia" w:ascii="仿宋_GB2312" w:hAnsi="仿宋_GB2312" w:eastAsia="仿宋_GB2312" w:cs="仿宋_GB2312"/>
          <w:color w:val="0000FF"/>
          <w:kern w:val="2"/>
          <w:sz w:val="28"/>
          <w:szCs w:val="28"/>
          <w:lang w:val="en-US" w:eastAsia="zh-CN" w:bidi="ar-SA"/>
        </w:rPr>
        <w:t>叁年</w:t>
      </w: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租赁服务费用总计人民币</w:t>
      </w:r>
      <w:r>
        <w:rPr>
          <w:rFonts w:hint="eastAsia" w:ascii="仿宋_GB2312" w:hAnsi="仿宋_GB2312" w:eastAsia="仿宋_GB2312" w:cs="仿宋_GB2312"/>
          <w:color w:val="FF0000"/>
          <w:kern w:val="2"/>
          <w:sz w:val="28"/>
          <w:szCs w:val="28"/>
          <w:u w:val="single"/>
          <w:lang w:val="en-US" w:eastAsia="zh-CN" w:bidi="ar-SA"/>
        </w:rPr>
        <w:t xml:space="preserve">     </w:t>
      </w:r>
      <w:r>
        <w:rPr>
          <w:rFonts w:hint="eastAsia" w:ascii="仿宋_GB2312" w:hAnsi="仿宋_GB2312" w:eastAsia="仿宋_GB2312" w:cs="仿宋_GB2312"/>
          <w:color w:val="FF0000"/>
          <w:kern w:val="2"/>
          <w:sz w:val="28"/>
          <w:szCs w:val="28"/>
          <w:lang w:val="en-US" w:eastAsia="zh-CN" w:bidi="ar-SA"/>
        </w:rPr>
        <w:t>元</w:t>
      </w: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（小写：</w:t>
      </w:r>
      <w:r>
        <w:rPr>
          <w:rFonts w:hint="eastAsia" w:ascii="仿宋_GB2312" w:hAnsi="仿宋_GB2312" w:eastAsia="仿宋_GB2312" w:cs="仿宋_GB2312"/>
          <w:color w:val="000000" w:themeColor="text1"/>
          <w:kern w:val="2"/>
          <w:sz w:val="28"/>
          <w:szCs w:val="28"/>
          <w:u w:val="single"/>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u w:val="none"/>
          <w:lang w:val="en-US" w:eastAsia="zh-CN" w:bidi="ar-SA"/>
          <w14:textFill>
            <w14:solidFill>
              <w14:schemeClr w14:val="tx1"/>
            </w14:solidFill>
          </w14:textFill>
        </w:rPr>
        <w:t>元）</w:t>
      </w: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已包含全省检查检验互认平台医保专线租赁费、一次性接入费、线路维修维护费、税费、调试费等全部费用，甲方不再就本合同约定服务额外支付任何其他费用。本合同履行期间，如国家电信资费标准调整后的费用标准低于本合同约定服务费标准，本合同服务费用自调整之日起按调整后的低标准结算；如国家电信资费标准调整后标准高于本合同约定服务费标准，则以按本合同约定服务费用标准结算。</w:t>
      </w:r>
    </w:p>
    <w:p w14:paraId="3866F203">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3.2 甲方在每合同年度届满之日起10个工作日内，将该年度服务费通过银行转账支付给乙方。乙方指定收款银行账户户名：</w:t>
      </w:r>
      <w:r>
        <w:rPr>
          <w:rFonts w:hint="eastAsia" w:ascii="仿宋_GB2312" w:hAnsi="仿宋_GB2312" w:eastAsia="仿宋_GB2312" w:cs="仿宋_GB2312"/>
          <w:color w:val="000000" w:themeColor="text1"/>
          <w:kern w:val="2"/>
          <w:sz w:val="28"/>
          <w:szCs w:val="28"/>
          <w:u w:val="single"/>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，开户行：</w:t>
      </w:r>
      <w:r>
        <w:rPr>
          <w:rFonts w:hint="eastAsia" w:ascii="仿宋_GB2312" w:hAnsi="仿宋_GB2312" w:eastAsia="仿宋_GB2312" w:cs="仿宋_GB2312"/>
          <w:color w:val="000000" w:themeColor="text1"/>
          <w:kern w:val="2"/>
          <w:sz w:val="28"/>
          <w:szCs w:val="28"/>
          <w:u w:val="single"/>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，账号：</w:t>
      </w:r>
      <w:r>
        <w:rPr>
          <w:rFonts w:hint="eastAsia" w:ascii="仿宋_GB2312" w:hAnsi="仿宋_GB2312" w:eastAsia="仿宋_GB2312" w:cs="仿宋_GB2312"/>
          <w:color w:val="000000" w:themeColor="text1"/>
          <w:kern w:val="2"/>
          <w:sz w:val="28"/>
          <w:szCs w:val="28"/>
          <w:u w:val="single"/>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w:t>
      </w:r>
    </w:p>
    <w:p w14:paraId="5FF2C551">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3.3 乙方应在甲方每次付款前提供以乙方名义开具的与付款金额等额的增值税普通发票，如未提供，甲方顺延付款，由此产生的责任均由乙方承担。</w:t>
      </w:r>
    </w:p>
    <w:p w14:paraId="3AC06CD4">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default"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3.4 如本合同履行期间甲方解除本合同，租用服务不足一个月时间的部分，每天按月租费的三十分之一收取，不足24小时的按一天计算。</w:t>
      </w:r>
    </w:p>
    <w:p w14:paraId="744BB8C6">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2" w:firstLineChars="200"/>
        <w:textAlignment w:val="baseline"/>
        <w:rPr>
          <w:rFonts w:hint="eastAsia" w:ascii="仿宋_GB2312" w:hAnsi="仿宋_GB2312" w:eastAsia="仿宋_GB2312" w:cs="仿宋_GB2312"/>
          <w:b/>
          <w:bCs/>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8"/>
          <w:szCs w:val="28"/>
          <w:lang w:val="en-US" w:eastAsia="zh-CN" w:bidi="ar-SA"/>
          <w14:textFill>
            <w14:solidFill>
              <w14:schemeClr w14:val="tx1"/>
            </w14:solidFill>
          </w14:textFill>
        </w:rPr>
        <w:t>第四条 甲方的权利和义务</w:t>
      </w:r>
    </w:p>
    <w:p w14:paraId="5EE0A846">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4.1 甲方应按照国家有关规定使用获得行业管理部门入网许可证的终端设备。</w:t>
      </w:r>
    </w:p>
    <w:p w14:paraId="09CBADA5">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4.2 甲方租用的全省检查检验互认平台医保专线限使用于传递与自身业务有关的信息，不得将租用的或租用后分割的全省检查检验互认平台医保专线转租给第三方。</w:t>
      </w:r>
    </w:p>
    <w:p w14:paraId="6E0AA2A4">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4.3 甲方不得利用租用的服务从事危害国家安全、泄露国家机密等违法犯罪活动，不得查阅、制作、复制、发布和传播淫秽色情和妨碍社会治安的信息。</w:t>
      </w:r>
    </w:p>
    <w:p w14:paraId="1EF0F44F">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4.4 如果需要停止、更换租用的全省检查检验互认平台医保专线，甲方应提前书面通知乙方，具体时间从乙方正式收到甲方的变更服务通知单日期为准。</w:t>
      </w:r>
    </w:p>
    <w:p w14:paraId="08F91247">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4.5 在租用全省检查检验互认平台医保专线服务业务过程中出现的技术性问题应及时通知乙方。</w:t>
      </w:r>
    </w:p>
    <w:p w14:paraId="23F200B2">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2" w:firstLineChars="200"/>
        <w:textAlignment w:val="baseline"/>
        <w:rPr>
          <w:rFonts w:hint="eastAsia" w:ascii="仿宋_GB2312" w:hAnsi="仿宋_GB2312" w:eastAsia="仿宋_GB2312" w:cs="仿宋_GB2312"/>
          <w:b/>
          <w:bCs/>
          <w:color w:val="000000" w:themeColor="text1"/>
          <w:kern w:val="2"/>
          <w:sz w:val="28"/>
          <w:szCs w:val="28"/>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8"/>
          <w:szCs w:val="28"/>
          <w:lang w:val="en-US" w:eastAsia="zh-CN" w:bidi="ar-SA"/>
          <w14:textFill>
            <w14:solidFill>
              <w14:schemeClr w14:val="tx1"/>
            </w14:solidFill>
          </w14:textFill>
        </w:rPr>
        <w:t>第五条 乙方的权利和义务</w:t>
      </w:r>
    </w:p>
    <w:p w14:paraId="2C840FCD">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default"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SA"/>
          <w14:textFill>
            <w14:solidFill>
              <w14:schemeClr w14:val="tx1"/>
            </w14:solidFill>
          </w14:textFill>
        </w:rPr>
        <w:t>5.1 乙方保证甲方租用全省检查检验互认平台医保专线服务的畅通和负责免费日常维护，承诺在接到甲方维护通知时及时响应，除线路中断外的故障应在接到通知后</w:t>
      </w:r>
      <w:r>
        <w:rPr>
          <w:rFonts w:hint="eastAsia" w:ascii="仿宋_GB2312" w:hAnsi="仿宋_GB2312" w:eastAsia="仿宋_GB2312" w:cs="仿宋_GB2312"/>
          <w:color w:val="000000" w:themeColor="text1"/>
          <w:kern w:val="2"/>
          <w:sz w:val="28"/>
          <w:szCs w:val="28"/>
          <w:highlight w:val="none"/>
          <w:u w:val="single"/>
          <w:lang w:val="en-US" w:eastAsia="zh-CN" w:bidi="ar-SA"/>
          <w14:textFill>
            <w14:solidFill>
              <w14:schemeClr w14:val="tx1"/>
            </w14:solidFill>
          </w14:textFill>
        </w:rPr>
        <w:t>8</w:t>
      </w:r>
      <w:r>
        <w:rPr>
          <w:rFonts w:hint="eastAsia" w:ascii="仿宋_GB2312" w:hAnsi="仿宋_GB2312" w:eastAsia="仿宋_GB2312" w:cs="仿宋_GB2312"/>
          <w:color w:val="000000" w:themeColor="text1"/>
          <w:kern w:val="2"/>
          <w:sz w:val="28"/>
          <w:szCs w:val="28"/>
          <w:highlight w:val="none"/>
          <w:lang w:val="en-US" w:eastAsia="zh-CN" w:bidi="ar-SA"/>
          <w14:textFill>
            <w14:solidFill>
              <w14:schemeClr w14:val="tx1"/>
            </w14:solidFill>
          </w14:textFill>
        </w:rPr>
        <w:t>小时内</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修复，线路中断故障在24小时内修复。</w:t>
      </w:r>
    </w:p>
    <w:p w14:paraId="5F96D5D5">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default"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5.2 本合同期限内，如甲方提出搬迁、改动接入地点的，乙方免费配合实施。</w:t>
      </w:r>
    </w:p>
    <w:p w14:paraId="650DB78B">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5.3 由于乙方端口、线路资源暂未具备等原因而未及时开通电路服务的，乙方有责任协调相关部门尽快开通电路服务并承担因未及时开通服务对甲方造成的经济损失赔偿责任。</w:t>
      </w:r>
    </w:p>
    <w:p w14:paraId="7C02069D">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5.4 乙方所提供电路维护服务的责任界面按照国家法律法规公布的维护规程明确。具体以甲方机房的设备为界，设备以外线路侧由乙方提供维护管理服务，另一侧（设备侧）由甲方负责维护管理。</w:t>
      </w:r>
    </w:p>
    <w:p w14:paraId="3E96B3A8">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default"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5.5 乙方因技术、设备或国家政策因素等原因对电路服务业务的服务功能、操作方法、计费方式、计费模式、业务号码等作出修改、调整的，乙方应在作出修改调整决定后4小时内书面通知甲方，但费用上调一律按本合同约定结算。</w:t>
      </w:r>
    </w:p>
    <w:p w14:paraId="7B3BE690">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5.6 因乙方施工</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、网络扩容割接</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等原因影响电路服务的正常使用并给甲方或第三方造成损失的，乙方应承担所有的法律责任和赔偿责任。</w:t>
      </w:r>
    </w:p>
    <w:p w14:paraId="673E2377">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5.7 乙方履行本合同过程中发生事故，包括但不限于在运输、装卸、安装及调试过程中发生事故，给甲方、乙方或第三方人身、财产造成的所有损失，均由乙方承担全部法律责任和经济赔偿责任。</w:t>
      </w:r>
    </w:p>
    <w:p w14:paraId="7049E29A">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2" w:firstLineChars="200"/>
        <w:textAlignment w:val="baseline"/>
        <w:rPr>
          <w:rFonts w:hint="eastAsia" w:ascii="仿宋_GB2312" w:hAnsi="仿宋_GB2312" w:eastAsia="仿宋_GB2312" w:cs="仿宋_GB2312"/>
          <w:b/>
          <w:bCs/>
          <w:color w:val="000000" w:themeColor="text1"/>
          <w:kern w:val="2"/>
          <w:sz w:val="28"/>
          <w:szCs w:val="28"/>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8"/>
          <w:szCs w:val="28"/>
          <w:highlight w:val="none"/>
          <w:lang w:val="en-US" w:eastAsia="zh-CN" w:bidi="ar-SA"/>
          <w14:textFill>
            <w14:solidFill>
              <w14:schemeClr w14:val="tx1"/>
            </w14:solidFill>
          </w14:textFill>
        </w:rPr>
        <w:t>第六条 开通与中断补偿</w:t>
      </w:r>
    </w:p>
    <w:p w14:paraId="47874041">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6.1 乙方应在本合同签订之日起</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3</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日内完成全省检查检验互认平台医保专线实施、调试，并向甲方提交有关测试数据报告，甲方现场确认全省检查检验互认平台医保专线符合要求后在测试报告上签字。</w:t>
      </w:r>
    </w:p>
    <w:p w14:paraId="39BAA069">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6.2 因乙方责任造成全省检查检验互认平台医保专线中断，乙方予以延长服务时间补偿：中断时间每满1小时补偿服务时间1小时，不足1小时的部分按1小时计算；当次中断时间超过4小时（不可抗力除外），一律按中断时间的2倍计算补偿时间。</w:t>
      </w:r>
    </w:p>
    <w:p w14:paraId="1E64BB5F">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6.3 甲方应及时通知乙方线路中断情况，如系乙方知道的设备故障造成的中断，故障时间自动计入补偿时间。</w:t>
      </w:r>
    </w:p>
    <w:p w14:paraId="50BED3D1">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6.4 如果乙方因测试电路等人为原因中断服务，乙方必须事先通知甲方，并征得甲方同意，中断补偿的办法按本合同6.2执行。因甲方提出测试电路要求不包含在中断补偿范围内。</w:t>
      </w:r>
    </w:p>
    <w:p w14:paraId="607312AE">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default"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6.5 如乙方无法在24小时内修复线路，应立即提供备线恢复电路服务。</w:t>
      </w:r>
    </w:p>
    <w:p w14:paraId="2FC7DB07">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6.6 由于甲方自备设备的故障或甲方操作不当造成的电路中断，乙方不予服务补偿。但当停机超过一小时，乙方应根据甲方的要求提供应急解决方案，最大程度上降低中断时间。</w:t>
      </w:r>
    </w:p>
    <w:p w14:paraId="0C2CB9D7">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rightChars="0" w:firstLine="562" w:firstLineChars="200"/>
        <w:textAlignment w:val="baseline"/>
        <w:rPr>
          <w:rFonts w:hint="eastAsia" w:ascii="仿宋_GB2312" w:hAnsi="仿宋_GB2312" w:eastAsia="仿宋_GB2312" w:cs="仿宋_GB2312"/>
          <w:b/>
          <w:bCs/>
          <w:snapToGrid w:val="0"/>
          <w:color w:val="000000" w:themeColor="text1"/>
          <w:kern w:val="0"/>
          <w:sz w:val="28"/>
          <w:szCs w:val="28"/>
          <w:lang w:val="en-US" w:eastAsia="zh-CN"/>
          <w14:textFill>
            <w14:solidFill>
              <w14:schemeClr w14:val="tx1"/>
            </w14:solidFill>
          </w14:textFill>
        </w:rPr>
      </w:pPr>
      <w:r>
        <w:rPr>
          <w:rFonts w:hint="eastAsia" w:ascii="仿宋_GB2312" w:hAnsi="仿宋_GB2312" w:eastAsia="仿宋_GB2312" w:cs="仿宋_GB2312"/>
          <w:b/>
          <w:bCs/>
          <w:snapToGrid w:val="0"/>
          <w:color w:val="000000" w:themeColor="text1"/>
          <w:kern w:val="0"/>
          <w:sz w:val="28"/>
          <w:szCs w:val="28"/>
          <w:lang w:val="en-US" w:eastAsia="zh-CN"/>
          <w14:textFill>
            <w14:solidFill>
              <w14:schemeClr w14:val="tx1"/>
            </w14:solidFill>
          </w14:textFill>
        </w:rPr>
        <w:t>第七条 廉洁条款</w:t>
      </w:r>
    </w:p>
    <w:p w14:paraId="2005A76A">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7.1 乙方应严格遵守国家相关法律法规，涉及合同的有关业务活动必须坚持公开、公平、公正、诚信原则，不得为获取不正当利益，损害国家、集体和甲方利益。</w:t>
      </w:r>
    </w:p>
    <w:p w14:paraId="3868162C">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7.2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5AC50ABC">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rightChars="0" w:firstLine="562" w:firstLineChars="200"/>
        <w:textAlignment w:val="baseline"/>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snapToGrid w:val="0"/>
          <w:color w:val="000000" w:themeColor="text1"/>
          <w:kern w:val="0"/>
          <w:sz w:val="28"/>
          <w:szCs w:val="28"/>
          <w:lang w:val="en-US" w:eastAsia="zh-CN"/>
          <w14:textFill>
            <w14:solidFill>
              <w14:schemeClr w14:val="tx1"/>
            </w14:solidFill>
          </w14:textFill>
        </w:rPr>
        <w:t xml:space="preserve">第八条 </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保密义务</w:t>
      </w:r>
    </w:p>
    <w:p w14:paraId="2214B2F1">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8.1 未经对方书面许可，任何一方不得向第三方提供或者披露因本合同的签订和履行而得知的与对方业务有关的资料和信息。</w:t>
      </w:r>
    </w:p>
    <w:p w14:paraId="24821333">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8.2 本合同约定的保密信息为永久绝对保密，保密条款在本合同终止后仍然有效。</w:t>
      </w:r>
    </w:p>
    <w:p w14:paraId="3053EDCF">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rightChars="0" w:firstLine="562" w:firstLineChars="200"/>
        <w:textAlignment w:val="baseline"/>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snapToGrid w:val="0"/>
          <w:color w:val="000000" w:themeColor="text1"/>
          <w:kern w:val="0"/>
          <w:sz w:val="28"/>
          <w:szCs w:val="28"/>
          <w:lang w:val="en-US" w:eastAsia="zh-CN"/>
          <w14:textFill>
            <w14:solidFill>
              <w14:schemeClr w14:val="tx1"/>
            </w14:solidFill>
          </w14:textFill>
        </w:rPr>
        <w:t xml:space="preserve">第九条 </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通知与送达</w:t>
      </w:r>
    </w:p>
    <w:p w14:paraId="2B55E28A">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9.1 甲乙双方同意，与本合同有关的任何文书，应以书面形式按本合同约定的联系方式送达。书面形式包括手机短信、微信、书面函件、电子邮件等形式。</w:t>
      </w:r>
    </w:p>
    <w:p w14:paraId="53A38D01">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9.2 双方确认的文书（包括未来可能发生的诉讼或仲裁活动中法院或仲裁机构的送达法律文书）送达地址：</w:t>
      </w:r>
    </w:p>
    <w:p w14:paraId="741A4AB4">
      <w:pPr>
        <w:keepNext w:val="0"/>
        <w:keepLines w:val="0"/>
        <w:pageBreakBefore w:val="0"/>
        <w:widowControl w:val="0"/>
        <w:kinsoku/>
        <w:wordWrap w:val="0"/>
        <w:overflowPunct/>
        <w:topLinePunct/>
        <w:autoSpaceDE/>
        <w:autoSpaceDN/>
        <w:bidi w:val="0"/>
        <w:adjustRightInd/>
        <w:snapToGrid/>
        <w:spacing w:line="480" w:lineRule="exact"/>
        <w:ind w:firstLine="560" w:firstLineChars="200"/>
        <w:jc w:val="both"/>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9.2.1 甲方的文书送达地址：</w:t>
      </w:r>
      <w:r>
        <w:rPr>
          <w:rFonts w:hint="eastAsia" w:ascii="仿宋_GB2312" w:hAnsi="仿宋_GB2312" w:eastAsia="仿宋_GB2312" w:cs="仿宋_GB2312"/>
          <w:b w:val="0"/>
          <w:bCs w:val="0"/>
          <w:color w:val="000000" w:themeColor="text1"/>
          <w:kern w:val="0"/>
          <w:sz w:val="28"/>
          <w:szCs w:val="28"/>
          <w:u w:val="single"/>
          <w:lang w:val="en-US" w:eastAsia="zh-CN"/>
          <w14:textFill>
            <w14:solidFill>
              <w14:schemeClr w14:val="tx1"/>
            </w14:solidFill>
          </w14:textFill>
        </w:rPr>
        <w:t>娄底市娄星区长青中街51号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，收件人：</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董</w:t>
      </w:r>
      <w:r>
        <w:rPr>
          <w:rFonts w:hint="eastAsia" w:ascii="仿宋_GB2312" w:hAnsi="仿宋_GB2312" w:eastAsia="仿宋_GB2312" w:cs="仿宋_GB2312"/>
          <w:b w:val="0"/>
          <w:bCs w:val="0"/>
          <w:color w:val="000000" w:themeColor="text1"/>
          <w:kern w:val="0"/>
          <w:sz w:val="28"/>
          <w:szCs w:val="28"/>
          <w:u w:val="single"/>
          <w:lang w:val="en-US" w:eastAsia="zh-CN"/>
          <w14:textFill>
            <w14:solidFill>
              <w14:schemeClr w14:val="tx1"/>
            </w14:solidFill>
          </w14:textFill>
        </w:rPr>
        <w:t>昉</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，联系电话：</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宋体" w:hAnsi="宋体" w:eastAsia="宋体" w:cs="宋体"/>
          <w:color w:val="auto"/>
          <w:sz w:val="24"/>
          <w:szCs w:val="24"/>
          <w:u w:val="single"/>
          <w:lang w:val="en-US" w:eastAsia="zh-CN"/>
        </w:rPr>
        <w:t xml:space="preserve"> </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15973879275</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微信号： df22028581 ，电子邮箱： </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fldChar w:fldCharType="begin"/>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instrText xml:space="preserve"> HYPERLINK "mailto:22028581@qq.com" </w:instrTex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fldChar w:fldCharType="separate"/>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22028581@qq.com</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fldChar w:fldCharType="end"/>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p>
    <w:p w14:paraId="724561F9">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9.2.2 乙方的文书送达地址：</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kern w:val="0"/>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，收件人：</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，联系电话：</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，电子邮箱：</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p>
    <w:p w14:paraId="3BF14EC0">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9.3 上述通知应被视为在下列时间送达：以快递或专人发送的，在收件人签收之日或拒收之日；以挂号邮件发出的，在发出之日起7个工作日；以电子邮件发出的，在电子邮件进入收件方电子邮箱服务器之日。</w:t>
      </w:r>
    </w:p>
    <w:p w14:paraId="40FB5D51">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default"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9.4 以上地址和联系方式，任意一方发生变更应在变更之日起3日内通知对方。如未通知，一方按原地址送达的书面资料被退回的，退回之日视为送达之日。任意一方按照确认地址送到另一方的书面资料被拒绝签收导致邮件被退回的，退回之日视为送达之日。</w:t>
      </w:r>
    </w:p>
    <w:p w14:paraId="4CF618A8">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rightChars="0" w:firstLine="562" w:firstLineChars="200"/>
        <w:textAlignment w:val="baseline"/>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第十条 合同的变更与解除</w:t>
      </w:r>
    </w:p>
    <w:p w14:paraId="5C932326">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10.1 合同的变更：经甲乙双方协商一致，可以对本合同内容进行变更和补充，双方应另行签订补充协议。</w:t>
      </w:r>
    </w:p>
    <w:p w14:paraId="05A01F22">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10.2 如乙方存在以下违约情形之一的，甲方有权单方面解除合同：</w:t>
      </w:r>
    </w:p>
    <w:p w14:paraId="38422E7A">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10.2.1 未在约定期限内开通全省检查检验互认平台医保专线服务超过</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48小时</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的；</w:t>
      </w:r>
    </w:p>
    <w:p w14:paraId="3C9F5B4C">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10.2.2 修复除中断外的故障超过</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8</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小时达3次以上的；</w:t>
      </w:r>
    </w:p>
    <w:p w14:paraId="138678A8">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default"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10.2.3 全省检查检验互认平台医保专线中断超过</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48小时仍未修复</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的；</w:t>
      </w:r>
    </w:p>
    <w:p w14:paraId="66D848F9">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10.2.4 乙方将服务转包、分包给第三方的；</w:t>
      </w:r>
    </w:p>
    <w:p w14:paraId="2979B73D">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default"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10.2.5 其他根本违约的情形。</w:t>
      </w:r>
    </w:p>
    <w:p w14:paraId="47E35454">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2" w:firstLineChars="200"/>
        <w:textAlignment w:val="baseline"/>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第十一条 违约责任</w:t>
      </w:r>
    </w:p>
    <w:p w14:paraId="150C8A1C">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11.1 乙方因自身原因未在约定时间内开通全省检查检验互认平台医保专线的，每逾期一日，按</w:t>
      </w:r>
      <w:r>
        <w:rPr>
          <w:rFonts w:hint="eastAsia" w:ascii="仿宋_GB2312" w:hAnsi="仿宋_GB2312" w:eastAsia="仿宋_GB2312" w:cs="仿宋_GB2312"/>
          <w:color w:val="0000FF"/>
          <w:sz w:val="28"/>
          <w:szCs w:val="28"/>
          <w:lang w:val="en-US" w:eastAsia="zh-CN"/>
        </w:rPr>
        <w:t>本合同总价款的</w:t>
      </w:r>
      <w:r>
        <w:rPr>
          <w:rFonts w:hint="eastAsia" w:ascii="仿宋_GB2312" w:hAnsi="仿宋_GB2312" w:eastAsia="仿宋_GB2312" w:cs="仿宋_GB2312"/>
          <w:color w:val="0000FF"/>
          <w:sz w:val="28"/>
          <w:szCs w:val="28"/>
          <w:u w:val="single"/>
          <w:lang w:val="en-US" w:eastAsia="zh-CN"/>
        </w:rPr>
        <w:t>0.3</w:t>
      </w:r>
      <w:r>
        <w:rPr>
          <w:rFonts w:hint="eastAsia" w:ascii="仿宋_GB2312" w:hAnsi="仿宋_GB2312" w:eastAsia="仿宋_GB2312" w:cs="仿宋_GB2312"/>
          <w:color w:val="0000FF"/>
          <w:sz w:val="28"/>
          <w:szCs w:val="28"/>
          <w:lang w:val="en-US" w:eastAsia="zh-CN"/>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向甲方支付违约金。</w:t>
      </w:r>
    </w:p>
    <w:p w14:paraId="6E50634E">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11.2 乙方未在约定时间内修复故障的，每逾期一日，乙方除按约定补偿服务时间外，还须向甲方支付违约金</w:t>
      </w:r>
      <w:r>
        <w:rPr>
          <w:rFonts w:hint="eastAsia" w:ascii="仿宋_GB2312" w:hAnsi="仿宋_GB2312" w:eastAsia="仿宋_GB2312" w:cs="仿宋_GB2312"/>
          <w:color w:val="0000FF"/>
          <w:sz w:val="28"/>
          <w:szCs w:val="28"/>
          <w:u w:val="single"/>
          <w:lang w:val="en-US" w:eastAsia="zh-CN"/>
        </w:rPr>
        <w:t>200.00</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元。</w:t>
      </w:r>
    </w:p>
    <w:p w14:paraId="5B7F7315">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11.3 如乙方单方解除合同或因乙方原因导致甲方解除合同，乙方除赔偿甲方由此造成的全部损失（包括但不限于实际经济损失，第三方履行产生的费用，因纠纷产生的律师费、诉讼费、差旅费等）外，还须按本合同总价款的</w:t>
      </w:r>
      <w:r>
        <w:rPr>
          <w:rFonts w:hint="eastAsia" w:ascii="仿宋_GB2312" w:hAnsi="仿宋_GB2312" w:eastAsia="仿宋_GB2312" w:cs="仿宋_GB2312"/>
          <w:color w:val="0000FF"/>
          <w:sz w:val="28"/>
          <w:szCs w:val="28"/>
          <w:lang w:val="en-US" w:eastAsia="zh-CN"/>
        </w:rPr>
        <w:t>20</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%向甲方支付违约金。</w:t>
      </w:r>
    </w:p>
    <w:p w14:paraId="1F6116CA">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2" w:firstLineChars="200"/>
        <w:jc w:val="both"/>
        <w:textAlignment w:val="baseline"/>
        <w:rPr>
          <w:rFonts w:hint="eastAsia" w:ascii="仿宋_GB2312" w:hAnsi="仿宋_GB2312" w:eastAsia="仿宋_GB2312" w:cs="仿宋_GB2312"/>
          <w:b/>
          <w:bCs/>
          <w:color w:val="000000" w:themeColor="text1"/>
          <w:sz w:val="28"/>
          <w:szCs w:val="28"/>
          <w:u w:val="single"/>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u w:val="single"/>
          <w:lang w:val="en-US" w:eastAsia="zh-CN"/>
          <w14:textFill>
            <w14:solidFill>
              <w14:schemeClr w14:val="tx1"/>
            </w14:solidFill>
          </w14:textFill>
        </w:rPr>
        <w:t>11.4 无论甲方在任意时候（不限于本合同履行期间）发现存在违反本合同廉洁条款及供应商考核管理制度约定的行为，乙方均须向甲方一次性支付惩罚性违约金</w:t>
      </w:r>
      <w:r>
        <w:rPr>
          <w:rFonts w:hint="eastAsia" w:ascii="仿宋_GB2312" w:hAnsi="仿宋_GB2312" w:eastAsia="仿宋_GB2312" w:cs="仿宋_GB2312"/>
          <w:b/>
          <w:bCs/>
          <w:color w:val="0000FF"/>
          <w:sz w:val="28"/>
          <w:szCs w:val="28"/>
          <w:u w:val="single"/>
          <w:lang w:val="en-US" w:eastAsia="zh-CN"/>
        </w:rPr>
        <w:t>10000.00</w:t>
      </w:r>
      <w:r>
        <w:rPr>
          <w:rFonts w:hint="eastAsia" w:ascii="仿宋_GB2312" w:hAnsi="仿宋_GB2312" w:eastAsia="仿宋_GB2312" w:cs="仿宋_GB2312"/>
          <w:b/>
          <w:bCs/>
          <w:color w:val="000000" w:themeColor="text1"/>
          <w:sz w:val="28"/>
          <w:szCs w:val="28"/>
          <w:u w:val="single"/>
          <w:lang w:val="en-US" w:eastAsia="zh-CN"/>
          <w14:textFill>
            <w14:solidFill>
              <w14:schemeClr w14:val="tx1"/>
            </w14:solidFill>
          </w14:textFill>
        </w:rPr>
        <w:t>元。如乙方除需承担违反廉洁条款及供应商考核管理制度的违约责任外，同时存在其他违约行为，乙方仍须就其他违约行为承担相应违约责任。</w:t>
      </w:r>
    </w:p>
    <w:p w14:paraId="14A71744">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2" w:firstLineChars="200"/>
        <w:jc w:val="both"/>
        <w:textAlignment w:val="baseline"/>
        <w:rPr>
          <w:rFonts w:hint="default" w:ascii="仿宋_GB2312" w:hAnsi="仿宋_GB2312" w:eastAsia="仿宋_GB2312" w:cs="仿宋_GB2312"/>
          <w:b/>
          <w:bCs/>
          <w:color w:val="000000" w:themeColor="text1"/>
          <w:sz w:val="28"/>
          <w:szCs w:val="28"/>
          <w:u w:val="single"/>
          <w:lang w:val="en-US" w:eastAsia="zh-CN"/>
          <w14:textFill>
            <w14:solidFill>
              <w14:schemeClr w14:val="tx1"/>
            </w14:solidFill>
          </w14:textFill>
        </w:rPr>
      </w:pPr>
      <w:r>
        <w:rPr>
          <w:rFonts w:hint="eastAsia" w:ascii="仿宋_GB2312" w:hAnsi="仿宋_GB2312" w:eastAsia="仿宋_GB2312" w:cs="仿宋_GB2312"/>
          <w:b/>
          <w:bCs/>
          <w:color w:val="0000FF"/>
          <w:sz w:val="28"/>
          <w:szCs w:val="28"/>
          <w:u w:val="single"/>
          <w:lang w:val="en-US" w:eastAsia="zh-CN"/>
        </w:rPr>
        <w:t>11.5 本合同项下乙方应承担的违约金或赔偿金，甲方有权从应付乙方的任何一笔款项中直接扣除。如扣除部分不足，乙方应在接到甲方通知后3个自然日内补足。</w:t>
      </w:r>
    </w:p>
    <w:p w14:paraId="6BA5D7D9">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default"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11.6 因不可抗力因素导致逾期履行的，不承担违约责任且不计入10.2约定情形，</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但双方应努力减小因不可抗力而造成的损失</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；不可抗力因素消除后，应当继续履行。</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不可抗力事件包括严重自然灾害、政府行为、第三方电路故障等不可抗拒的事件。</w:t>
      </w:r>
    </w:p>
    <w:p w14:paraId="6495EADB">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2" w:firstLineChars="200"/>
        <w:textAlignment w:val="baseline"/>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第十二条 争议的解决</w:t>
      </w:r>
    </w:p>
    <w:p w14:paraId="1FF41433">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与</w:t>
      </w:r>
      <w:r>
        <w:rPr>
          <w:rFonts w:hint="default" w:ascii="仿宋" w:hAnsi="仿宋" w:eastAsia="仿宋" w:cs="仿宋"/>
          <w:color w:val="000000" w:themeColor="text1"/>
          <w:sz w:val="28"/>
          <w:szCs w:val="28"/>
          <w:lang w:val="en-US" w:eastAsia="zh-CN"/>
          <w14:textFill>
            <w14:solidFill>
              <w14:schemeClr w14:val="tx1"/>
            </w14:solidFill>
          </w14:textFill>
        </w:rPr>
        <w:t>本</w:t>
      </w:r>
      <w:r>
        <w:rPr>
          <w:rFonts w:hint="eastAsia" w:ascii="仿宋" w:hAnsi="仿宋" w:eastAsia="仿宋" w:cs="仿宋"/>
          <w:color w:val="000000" w:themeColor="text1"/>
          <w:sz w:val="28"/>
          <w:szCs w:val="28"/>
          <w:lang w:val="en-US" w:eastAsia="zh-CN"/>
          <w14:textFill>
            <w14:solidFill>
              <w14:schemeClr w14:val="tx1"/>
            </w14:solidFill>
          </w14:textFill>
        </w:rPr>
        <w:t>合同</w:t>
      </w:r>
      <w:r>
        <w:rPr>
          <w:rFonts w:hint="default" w:ascii="仿宋" w:hAnsi="仿宋" w:eastAsia="仿宋" w:cs="仿宋"/>
          <w:color w:val="000000" w:themeColor="text1"/>
          <w:sz w:val="28"/>
          <w:szCs w:val="28"/>
          <w:lang w:val="en-US" w:eastAsia="zh-CN"/>
          <w14:textFill>
            <w14:solidFill>
              <w14:schemeClr w14:val="tx1"/>
            </w14:solidFill>
          </w14:textFill>
        </w:rPr>
        <w:t>有关</w:t>
      </w:r>
      <w:r>
        <w:rPr>
          <w:rFonts w:hint="eastAsia" w:ascii="仿宋" w:hAnsi="仿宋" w:eastAsia="仿宋" w:cs="仿宋"/>
          <w:color w:val="000000" w:themeColor="text1"/>
          <w:sz w:val="28"/>
          <w:szCs w:val="28"/>
          <w:lang w:val="en-US" w:eastAsia="zh-CN"/>
          <w14:textFill>
            <w14:solidFill>
              <w14:schemeClr w14:val="tx1"/>
            </w14:solidFill>
          </w14:textFill>
        </w:rPr>
        <w:t>的</w:t>
      </w:r>
      <w:r>
        <w:rPr>
          <w:rFonts w:hint="default" w:ascii="仿宋" w:hAnsi="仿宋" w:eastAsia="仿宋" w:cs="仿宋"/>
          <w:color w:val="000000" w:themeColor="text1"/>
          <w:sz w:val="28"/>
          <w:szCs w:val="28"/>
          <w:lang w:val="en-US" w:eastAsia="zh-CN"/>
          <w14:textFill>
            <w14:solidFill>
              <w14:schemeClr w14:val="tx1"/>
            </w14:solidFill>
          </w14:textFill>
        </w:rPr>
        <w:t>争议，双方应友好协商解决争议。如解决不成，</w:t>
      </w:r>
      <w:r>
        <w:rPr>
          <w:rFonts w:hint="eastAsia" w:ascii="仿宋" w:hAnsi="仿宋" w:eastAsia="仿宋" w:cs="仿宋"/>
          <w:color w:val="000000" w:themeColor="text1"/>
          <w:sz w:val="28"/>
          <w:szCs w:val="28"/>
          <w:lang w:val="en-US" w:eastAsia="zh-CN"/>
          <w14:textFill>
            <w14:solidFill>
              <w14:schemeClr w14:val="tx1"/>
            </w14:solidFill>
          </w14:textFill>
        </w:rPr>
        <w:t>任一方均可向甲方所在地有管辖权的人民法院</w:t>
      </w:r>
      <w:r>
        <w:rPr>
          <w:rFonts w:hint="default" w:ascii="仿宋" w:hAnsi="仿宋" w:eastAsia="仿宋" w:cs="仿宋"/>
          <w:color w:val="000000" w:themeColor="text1"/>
          <w:sz w:val="28"/>
          <w:szCs w:val="28"/>
          <w:lang w:val="en-US" w:eastAsia="zh-CN"/>
          <w14:textFill>
            <w14:solidFill>
              <w14:schemeClr w14:val="tx1"/>
            </w14:solidFill>
          </w14:textFill>
        </w:rPr>
        <w:t>提起诉讼解决。</w:t>
      </w:r>
    </w:p>
    <w:p w14:paraId="39E5603D">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2" w:firstLineChars="200"/>
        <w:textAlignment w:val="baseline"/>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 xml:space="preserve">第十三条 附则 </w:t>
      </w:r>
    </w:p>
    <w:p w14:paraId="435573A0">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textAlignment w:val="baseline"/>
        <w:rPr>
          <w:rFonts w:hint="default" w:ascii="仿宋" w:hAnsi="仿宋" w:eastAsia="仿宋" w:cs="仿宋"/>
          <w:color w:val="000000" w:themeColor="text1"/>
          <w:sz w:val="28"/>
          <w:szCs w:val="28"/>
          <w:lang w:val="en-US" w:eastAsia="zh-CN"/>
          <w14:textFill>
            <w14:solidFill>
              <w14:schemeClr w14:val="tx1"/>
            </w14:solidFill>
          </w14:textFill>
        </w:rPr>
      </w:pPr>
      <w:r>
        <w:rPr>
          <w:rFonts w:hint="default" w:ascii="仿宋" w:hAnsi="仿宋" w:eastAsia="仿宋" w:cs="仿宋"/>
          <w:color w:val="000000" w:themeColor="text1"/>
          <w:sz w:val="28"/>
          <w:szCs w:val="28"/>
          <w:lang w:val="en-US" w:eastAsia="zh-CN"/>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default" w:ascii="仿宋" w:hAnsi="仿宋" w:eastAsia="仿宋" w:cs="仿宋"/>
          <w:color w:val="000000" w:themeColor="text1"/>
          <w:sz w:val="28"/>
          <w:szCs w:val="28"/>
          <w:lang w:val="en-US"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 xml:space="preserve">1 </w:t>
      </w:r>
      <w:r>
        <w:rPr>
          <w:rFonts w:hint="default" w:ascii="仿宋" w:hAnsi="仿宋" w:eastAsia="仿宋" w:cs="仿宋"/>
          <w:color w:val="000000" w:themeColor="text1"/>
          <w:sz w:val="28"/>
          <w:szCs w:val="28"/>
          <w:lang w:val="en-US" w:eastAsia="zh-CN"/>
          <w14:textFill>
            <w14:solidFill>
              <w14:schemeClr w14:val="tx1"/>
            </w14:solidFill>
          </w14:textFill>
        </w:rPr>
        <w:t>本合同组成文件和优先解释顺序：</w:t>
      </w:r>
      <w:r>
        <w:rPr>
          <w:rFonts w:hint="eastAsia" w:ascii="仿宋" w:hAnsi="仿宋" w:eastAsia="仿宋" w:cs="仿宋"/>
          <w:color w:val="0000FF"/>
          <w:sz w:val="28"/>
          <w:szCs w:val="28"/>
          <w:lang w:val="en-US" w:eastAsia="zh-CN"/>
        </w:rPr>
        <w:t>乙方在履行本合同中作出的书面承诺；</w:t>
      </w:r>
      <w:r>
        <w:rPr>
          <w:rFonts w:hint="eastAsia" w:ascii="仿宋" w:hAnsi="仿宋" w:eastAsia="仿宋" w:cs="仿宋"/>
          <w:color w:val="000000" w:themeColor="text1"/>
          <w:sz w:val="28"/>
          <w:szCs w:val="28"/>
          <w:lang w:val="en-US" w:eastAsia="zh-CN"/>
          <w14:textFill>
            <w14:solidFill>
              <w14:schemeClr w14:val="tx1"/>
            </w14:solidFill>
          </w14:textFill>
        </w:rPr>
        <w:t>本合同补充协议；本合同及附件；</w:t>
      </w:r>
      <w:r>
        <w:rPr>
          <w:rFonts w:hint="eastAsia" w:ascii="仿宋" w:hAnsi="仿宋" w:eastAsia="仿宋" w:cs="仿宋"/>
          <w:color w:val="0000FF"/>
          <w:sz w:val="28"/>
          <w:szCs w:val="28"/>
          <w:lang w:val="en-US" w:eastAsia="zh-CN"/>
        </w:rPr>
        <w:t>中标通知书/成交通知书/议价结果公示/成交公告；投标文件/响应文件；招标文件/采购文件/采购需求；</w:t>
      </w:r>
      <w:r>
        <w:rPr>
          <w:rFonts w:hint="eastAsia" w:ascii="仿宋" w:hAnsi="仿宋" w:eastAsia="仿宋" w:cs="仿宋"/>
          <w:color w:val="000000" w:themeColor="text1"/>
          <w:sz w:val="28"/>
          <w:szCs w:val="28"/>
          <w:lang w:val="en-US" w:eastAsia="zh-CN"/>
          <w14:textFill>
            <w14:solidFill>
              <w14:schemeClr w14:val="tx1"/>
            </w14:solidFill>
          </w14:textFill>
        </w:rPr>
        <w:t>其他与本合同有关的资料。</w:t>
      </w:r>
    </w:p>
    <w:p w14:paraId="55807392">
      <w:pPr>
        <w:pStyle w:val="11"/>
        <w:keepNext w:val="0"/>
        <w:keepLines w:val="0"/>
        <w:pageBreakBefore w:val="0"/>
        <w:widowControl w:val="0"/>
        <w:numPr>
          <w:ilvl w:val="0"/>
          <w:numId w:val="0"/>
        </w:numPr>
        <w:kinsoku/>
        <w:wordWrap w:val="0"/>
        <w:overflowPunct/>
        <w:topLinePunct/>
        <w:autoSpaceDE/>
        <w:autoSpaceDN/>
        <w:bidi w:val="0"/>
        <w:adjustRightInd w:val="0"/>
        <w:snapToGrid w:val="0"/>
        <w:spacing w:after="0" w:line="480" w:lineRule="exact"/>
        <w:ind w:left="0" w:leftChars="0" w:right="0" w:firstLine="560" w:firstLineChars="200"/>
        <w:jc w:val="both"/>
        <w:textAlignment w:val="baseline"/>
        <w:rPr>
          <w:rFonts w:hint="default" w:ascii="仿宋" w:hAnsi="仿宋" w:eastAsia="仿宋" w:cs="仿宋"/>
          <w:color w:val="000000" w:themeColor="text1"/>
          <w:sz w:val="28"/>
          <w:szCs w:val="28"/>
          <w:lang w:val="en-US" w:eastAsia="zh-CN"/>
          <w14:textFill>
            <w14:solidFill>
              <w14:schemeClr w14:val="tx1"/>
            </w14:solidFill>
          </w14:textFill>
        </w:rPr>
      </w:pPr>
      <w:r>
        <w:rPr>
          <w:rFonts w:hint="default" w:ascii="仿宋" w:hAnsi="仿宋" w:eastAsia="仿宋" w:cs="仿宋"/>
          <w:color w:val="000000" w:themeColor="text1"/>
          <w:sz w:val="28"/>
          <w:szCs w:val="28"/>
          <w:lang w:val="en-US" w:eastAsia="zh-CN"/>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default" w:ascii="仿宋" w:hAnsi="仿宋" w:eastAsia="仿宋" w:cs="仿宋"/>
          <w:color w:val="000000" w:themeColor="text1"/>
          <w:sz w:val="28"/>
          <w:szCs w:val="28"/>
          <w:lang w:val="en-US"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 xml:space="preserve">2 </w:t>
      </w:r>
      <w:r>
        <w:rPr>
          <w:rFonts w:hint="default" w:ascii="仿宋" w:hAnsi="仿宋" w:eastAsia="仿宋" w:cs="仿宋"/>
          <w:color w:val="000000" w:themeColor="text1"/>
          <w:sz w:val="28"/>
          <w:szCs w:val="28"/>
          <w:lang w:val="en-US" w:eastAsia="zh-CN"/>
          <w14:textFill>
            <w14:solidFill>
              <w14:schemeClr w14:val="tx1"/>
            </w14:solidFill>
          </w14:textFill>
        </w:rPr>
        <w:t>本合同一式</w:t>
      </w:r>
      <w:r>
        <w:rPr>
          <w:rFonts w:hint="eastAsia" w:ascii="仿宋" w:hAnsi="仿宋" w:eastAsia="仿宋" w:cs="仿宋"/>
          <w:color w:val="000000" w:themeColor="text1"/>
          <w:sz w:val="28"/>
          <w:szCs w:val="28"/>
          <w:lang w:val="en-US" w:eastAsia="zh-CN"/>
          <w14:textFill>
            <w14:solidFill>
              <w14:schemeClr w14:val="tx1"/>
            </w14:solidFill>
          </w14:textFill>
        </w:rPr>
        <w:t>伍</w:t>
      </w:r>
      <w:r>
        <w:rPr>
          <w:rFonts w:hint="default" w:ascii="仿宋" w:hAnsi="仿宋" w:eastAsia="仿宋" w:cs="仿宋"/>
          <w:color w:val="000000" w:themeColor="text1"/>
          <w:sz w:val="28"/>
          <w:szCs w:val="28"/>
          <w:lang w:val="en-US" w:eastAsia="zh-CN"/>
          <w14:textFill>
            <w14:solidFill>
              <w14:schemeClr w14:val="tx1"/>
            </w14:solidFill>
          </w14:textFill>
        </w:rPr>
        <w:t>份，甲方执</w:t>
      </w:r>
      <w:r>
        <w:rPr>
          <w:rFonts w:hint="eastAsia" w:ascii="仿宋" w:hAnsi="仿宋" w:eastAsia="仿宋" w:cs="仿宋"/>
          <w:color w:val="000000" w:themeColor="text1"/>
          <w:sz w:val="28"/>
          <w:szCs w:val="28"/>
          <w:lang w:val="en-US" w:eastAsia="zh-CN"/>
          <w14:textFill>
            <w14:solidFill>
              <w14:schemeClr w14:val="tx1"/>
            </w14:solidFill>
          </w14:textFill>
        </w:rPr>
        <w:t>肆</w:t>
      </w:r>
      <w:r>
        <w:rPr>
          <w:rFonts w:hint="default" w:ascii="仿宋" w:hAnsi="仿宋" w:eastAsia="仿宋" w:cs="仿宋"/>
          <w:color w:val="000000" w:themeColor="text1"/>
          <w:sz w:val="28"/>
          <w:szCs w:val="28"/>
          <w:lang w:val="en-US" w:eastAsia="zh-CN"/>
          <w14:textFill>
            <w14:solidFill>
              <w14:schemeClr w14:val="tx1"/>
            </w14:solidFill>
          </w14:textFill>
        </w:rPr>
        <w:t>份</w:t>
      </w:r>
      <w:r>
        <w:rPr>
          <w:rFonts w:hint="eastAsia" w:ascii="仿宋" w:hAnsi="仿宋" w:eastAsia="仿宋" w:cs="仿宋"/>
          <w:color w:val="000000" w:themeColor="text1"/>
          <w:sz w:val="28"/>
          <w:szCs w:val="28"/>
          <w:lang w:val="en-US" w:eastAsia="zh-CN"/>
          <w14:textFill>
            <w14:solidFill>
              <w14:schemeClr w14:val="tx1"/>
            </w14:solidFill>
          </w14:textFill>
        </w:rPr>
        <w:t>、</w:t>
      </w:r>
      <w:r>
        <w:rPr>
          <w:rFonts w:hint="default" w:ascii="仿宋" w:hAnsi="仿宋" w:eastAsia="仿宋" w:cs="仿宋"/>
          <w:color w:val="000000" w:themeColor="text1"/>
          <w:sz w:val="28"/>
          <w:szCs w:val="28"/>
          <w:lang w:val="en-US" w:eastAsia="zh-CN"/>
          <w14:textFill>
            <w14:solidFill>
              <w14:schemeClr w14:val="tx1"/>
            </w14:solidFill>
          </w14:textFill>
        </w:rPr>
        <w:t>乙方执</w:t>
      </w:r>
      <w:r>
        <w:rPr>
          <w:rFonts w:hint="eastAsia" w:ascii="仿宋" w:hAnsi="仿宋" w:eastAsia="仿宋" w:cs="仿宋"/>
          <w:color w:val="000000" w:themeColor="text1"/>
          <w:sz w:val="28"/>
          <w:szCs w:val="28"/>
          <w:lang w:val="en-US" w:eastAsia="zh-CN"/>
          <w14:textFill>
            <w14:solidFill>
              <w14:schemeClr w14:val="tx1"/>
            </w14:solidFill>
          </w14:textFill>
        </w:rPr>
        <w:t>壹</w:t>
      </w:r>
      <w:r>
        <w:rPr>
          <w:rFonts w:hint="default" w:ascii="仿宋" w:hAnsi="仿宋" w:eastAsia="仿宋" w:cs="仿宋"/>
          <w:color w:val="000000" w:themeColor="text1"/>
          <w:sz w:val="28"/>
          <w:szCs w:val="28"/>
          <w:lang w:val="en-US" w:eastAsia="zh-CN"/>
          <w14:textFill>
            <w14:solidFill>
              <w14:schemeClr w14:val="tx1"/>
            </w14:solidFill>
          </w14:textFill>
        </w:rPr>
        <w:t>份，自双方签字</w:t>
      </w:r>
      <w:r>
        <w:rPr>
          <w:rFonts w:hint="eastAsia" w:ascii="仿宋" w:hAnsi="仿宋" w:eastAsia="仿宋" w:cs="仿宋"/>
          <w:color w:val="000000" w:themeColor="text1"/>
          <w:sz w:val="28"/>
          <w:szCs w:val="28"/>
          <w:lang w:val="en-US" w:eastAsia="zh-CN"/>
          <w14:textFill>
            <w14:solidFill>
              <w14:schemeClr w14:val="tx1"/>
            </w14:solidFill>
          </w14:textFill>
        </w:rPr>
        <w:t>并</w:t>
      </w:r>
      <w:r>
        <w:rPr>
          <w:rFonts w:hint="default" w:ascii="仿宋" w:hAnsi="仿宋" w:eastAsia="仿宋" w:cs="仿宋"/>
          <w:color w:val="000000" w:themeColor="text1"/>
          <w:sz w:val="28"/>
          <w:szCs w:val="28"/>
          <w:lang w:val="en-US" w:eastAsia="zh-CN"/>
          <w14:textFill>
            <w14:solidFill>
              <w14:schemeClr w14:val="tx1"/>
            </w14:solidFill>
          </w14:textFill>
        </w:rPr>
        <w:t>盖章之日起生效。</w:t>
      </w:r>
    </w:p>
    <w:p w14:paraId="22EAFFC0">
      <w:pPr>
        <w:pStyle w:val="11"/>
        <w:keepNext w:val="0"/>
        <w:keepLines w:val="0"/>
        <w:pageBreakBefore w:val="0"/>
        <w:widowControl w:val="0"/>
        <w:numPr>
          <w:ilvl w:val="0"/>
          <w:numId w:val="0"/>
        </w:numPr>
        <w:kinsoku w:val="0"/>
        <w:wordWrap/>
        <w:overflowPunct/>
        <w:topLinePunct w:val="0"/>
        <w:autoSpaceDE w:val="0"/>
        <w:autoSpaceDN w:val="0"/>
        <w:bidi w:val="0"/>
        <w:adjustRightInd w:val="0"/>
        <w:snapToGrid w:val="0"/>
        <w:spacing w:after="0" w:line="460" w:lineRule="exact"/>
        <w:ind w:left="0" w:leftChars="0" w:right="0" w:firstLine="560" w:firstLineChars="200"/>
        <w:textAlignment w:val="baseline"/>
        <w:rPr>
          <w:rFonts w:hint="default" w:ascii="仿宋" w:hAnsi="仿宋" w:eastAsia="仿宋" w:cs="仿宋"/>
          <w:color w:val="000000" w:themeColor="text1"/>
          <w:sz w:val="28"/>
          <w:szCs w:val="28"/>
          <w:lang w:val="en-US" w:eastAsia="zh-CN"/>
          <w14:textFill>
            <w14:solidFill>
              <w14:schemeClr w14:val="tx1"/>
            </w14:solidFill>
          </w14:textFill>
        </w:rPr>
      </w:pPr>
    </w:p>
    <w:p w14:paraId="73A358E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6720" w:leftChars="0" w:right="0" w:hanging="6720" w:hangingChars="2400"/>
        <w:jc w:val="both"/>
        <w:textAlignment w:val="auto"/>
        <w:rPr>
          <w:rFonts w:hint="default" w:ascii="仿宋" w:hAnsi="仿宋" w:eastAsia="仿宋" w:cs="仿宋"/>
          <w:snapToGrid w:val="0"/>
          <w:color w:val="000000" w:themeColor="text1"/>
          <w:kern w:val="0"/>
          <w:sz w:val="28"/>
          <w:szCs w:val="28"/>
          <w:lang w:val="en-US" w:eastAsia="zh-CN"/>
          <w14:textFill>
            <w14:solidFill>
              <w14:schemeClr w14:val="tx1"/>
            </w14:solidFill>
          </w14:textFill>
        </w:rPr>
      </w:pPr>
      <w:r>
        <w:rPr>
          <w:rFonts w:hint="default" w:ascii="仿宋" w:hAnsi="仿宋" w:eastAsia="仿宋" w:cs="仿宋"/>
          <w:snapToGrid w:val="0"/>
          <w:color w:val="000000" w:themeColor="text1"/>
          <w:kern w:val="0"/>
          <w:sz w:val="28"/>
          <w:szCs w:val="28"/>
          <w:lang w:val="en-US" w:eastAsia="zh-CN"/>
          <w14:textFill>
            <w14:solidFill>
              <w14:schemeClr w14:val="tx1"/>
            </w14:solidFill>
          </w14:textFill>
        </w:rPr>
        <w:t>甲方（盖章）：</w:t>
      </w:r>
      <w:r>
        <w:rPr>
          <w:rFonts w:hint="eastAsia" w:ascii="仿宋" w:hAnsi="仿宋" w:eastAsia="仿宋" w:cs="仿宋"/>
          <w:snapToGrid w:val="0"/>
          <w:color w:val="000000" w:themeColor="text1"/>
          <w:kern w:val="0"/>
          <w:sz w:val="28"/>
          <w:szCs w:val="28"/>
          <w:lang w:val="en-US" w:eastAsia="zh-CN"/>
          <w14:textFill>
            <w14:solidFill>
              <w14:schemeClr w14:val="tx1"/>
            </w14:solidFill>
          </w14:textFill>
        </w:rPr>
        <w:t>娄底市中心医院</w:t>
      </w:r>
      <w:r>
        <w:rPr>
          <w:rFonts w:hint="default" w:ascii="仿宋" w:hAnsi="仿宋" w:eastAsia="仿宋" w:cs="仿宋"/>
          <w:snapToGrid w:val="0"/>
          <w:color w:val="000000" w:themeColor="text1"/>
          <w:kern w:val="0"/>
          <w:sz w:val="28"/>
          <w:szCs w:val="28"/>
          <w:lang w:val="en-US" w:eastAsia="zh-CN"/>
          <w14:textFill>
            <w14:solidFill>
              <w14:schemeClr w14:val="tx1"/>
            </w14:solidFill>
          </w14:textFill>
        </w:rPr>
        <w:t xml:space="preserve"> </w:t>
      </w:r>
      <w:r>
        <w:rPr>
          <w:rFonts w:hint="eastAsia" w:ascii="仿宋" w:hAnsi="仿宋" w:eastAsia="仿宋" w:cs="仿宋"/>
          <w:snapToGrid w:val="0"/>
          <w:color w:val="000000" w:themeColor="text1"/>
          <w:kern w:val="0"/>
          <w:sz w:val="28"/>
          <w:szCs w:val="28"/>
          <w:lang w:val="en-US" w:eastAsia="zh-CN"/>
          <w14:textFill>
            <w14:solidFill>
              <w14:schemeClr w14:val="tx1"/>
            </w14:solidFill>
          </w14:textFill>
        </w:rPr>
        <w:t xml:space="preserve">     </w:t>
      </w:r>
      <w:r>
        <w:rPr>
          <w:rFonts w:hint="default" w:ascii="仿宋" w:hAnsi="仿宋" w:eastAsia="仿宋" w:cs="仿宋"/>
          <w:snapToGrid w:val="0"/>
          <w:color w:val="000000" w:themeColor="text1"/>
          <w:kern w:val="0"/>
          <w:sz w:val="28"/>
          <w:szCs w:val="28"/>
          <w:lang w:val="en-US" w:eastAsia="zh-CN"/>
          <w14:textFill>
            <w14:solidFill>
              <w14:schemeClr w14:val="tx1"/>
            </w14:solidFill>
          </w14:textFill>
        </w:rPr>
        <w:t>乙方（盖章）：</w:t>
      </w:r>
    </w:p>
    <w:p w14:paraId="10853791">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6720" w:leftChars="0" w:right="0" w:hanging="6720" w:hangingChars="2400"/>
        <w:jc w:val="both"/>
        <w:textAlignment w:val="auto"/>
        <w:rPr>
          <w:rFonts w:hint="default" w:ascii="仿宋" w:hAnsi="仿宋" w:eastAsia="仿宋" w:cs="仿宋"/>
          <w:snapToGrid w:val="0"/>
          <w:color w:val="000000" w:themeColor="text1"/>
          <w:kern w:val="0"/>
          <w:sz w:val="28"/>
          <w:szCs w:val="28"/>
          <w:lang w:val="en-US" w:eastAsia="zh-CN"/>
          <w14:textFill>
            <w14:solidFill>
              <w14:schemeClr w14:val="tx1"/>
            </w14:solidFill>
          </w14:textFill>
        </w:rPr>
      </w:pPr>
      <w:r>
        <w:rPr>
          <w:rFonts w:hint="default" w:ascii="仿宋" w:hAnsi="仿宋" w:eastAsia="仿宋" w:cs="仿宋"/>
          <w:snapToGrid w:val="0"/>
          <w:color w:val="000000" w:themeColor="text1"/>
          <w:kern w:val="0"/>
          <w:sz w:val="28"/>
          <w:szCs w:val="28"/>
          <w:lang w:val="en-US" w:eastAsia="zh-CN"/>
          <w14:textFill>
            <w14:solidFill>
              <w14:schemeClr w14:val="tx1"/>
            </w14:solidFill>
          </w14:textFill>
        </w:rPr>
        <w:t xml:space="preserve">     </w:t>
      </w:r>
      <w:r>
        <w:rPr>
          <w:rFonts w:hint="eastAsia" w:ascii="仿宋" w:hAnsi="仿宋" w:eastAsia="仿宋" w:cs="仿宋"/>
          <w:snapToGrid w:val="0"/>
          <w:color w:val="000000" w:themeColor="text1"/>
          <w:kern w:val="0"/>
          <w:sz w:val="28"/>
          <w:szCs w:val="28"/>
          <w:lang w:val="en-US" w:eastAsia="zh-CN"/>
          <w14:textFill>
            <w14:solidFill>
              <w14:schemeClr w14:val="tx1"/>
            </w14:solidFill>
          </w14:textFill>
        </w:rPr>
        <w:t xml:space="preserve">                   </w:t>
      </w:r>
    </w:p>
    <w:p w14:paraId="1D2C65E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jc w:val="both"/>
        <w:textAlignment w:val="auto"/>
        <w:rPr>
          <w:rFonts w:hint="default" w:ascii="仿宋" w:hAnsi="仿宋" w:eastAsia="仿宋" w:cs="仿宋"/>
          <w:snapToGrid w:val="0"/>
          <w:color w:val="000000" w:themeColor="text1"/>
          <w:kern w:val="0"/>
          <w:sz w:val="28"/>
          <w:szCs w:val="28"/>
          <w:lang w:val="en-US" w:eastAsia="zh-CN"/>
          <w14:textFill>
            <w14:solidFill>
              <w14:schemeClr w14:val="tx1"/>
            </w14:solidFill>
          </w14:textFill>
        </w:rPr>
      </w:pPr>
    </w:p>
    <w:p w14:paraId="4DB71B9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jc w:val="both"/>
        <w:textAlignment w:val="auto"/>
        <w:rPr>
          <w:rFonts w:hint="default" w:ascii="仿宋" w:hAnsi="仿宋" w:eastAsia="仿宋" w:cs="仿宋"/>
          <w:snapToGrid w:val="0"/>
          <w:color w:val="000000" w:themeColor="text1"/>
          <w:kern w:val="0"/>
          <w:sz w:val="28"/>
          <w:szCs w:val="28"/>
          <w:lang w:val="en-US" w:eastAsia="zh-CN"/>
          <w14:textFill>
            <w14:solidFill>
              <w14:schemeClr w14:val="tx1"/>
            </w14:solidFill>
          </w14:textFill>
        </w:rPr>
      </w:pPr>
      <w:r>
        <w:rPr>
          <w:rFonts w:hint="default" w:ascii="仿宋" w:hAnsi="仿宋" w:eastAsia="仿宋" w:cs="仿宋"/>
          <w:snapToGrid w:val="0"/>
          <w:color w:val="000000" w:themeColor="text1"/>
          <w:kern w:val="0"/>
          <w:sz w:val="28"/>
          <w:szCs w:val="28"/>
          <w:lang w:val="en-US" w:eastAsia="zh-CN"/>
          <w14:textFill>
            <w14:solidFill>
              <w14:schemeClr w14:val="tx1"/>
            </w14:solidFill>
          </w14:textFill>
        </w:rPr>
        <w:t xml:space="preserve">法定代表人（签字）：        </w:t>
      </w:r>
      <w:r>
        <w:rPr>
          <w:rFonts w:hint="eastAsia" w:ascii="仿宋" w:hAnsi="仿宋" w:eastAsia="仿宋" w:cs="仿宋"/>
          <w:snapToGrid w:val="0"/>
          <w:color w:val="000000" w:themeColor="text1"/>
          <w:kern w:val="0"/>
          <w:sz w:val="28"/>
          <w:szCs w:val="28"/>
          <w:lang w:val="en-US" w:eastAsia="zh-CN"/>
          <w14:textFill>
            <w14:solidFill>
              <w14:schemeClr w14:val="tx1"/>
            </w14:solidFill>
          </w14:textFill>
        </w:rPr>
        <w:t xml:space="preserve">      </w:t>
      </w:r>
      <w:r>
        <w:rPr>
          <w:rFonts w:hint="default" w:ascii="仿宋" w:hAnsi="仿宋" w:eastAsia="仿宋" w:cs="仿宋"/>
          <w:snapToGrid w:val="0"/>
          <w:color w:val="000000" w:themeColor="text1"/>
          <w:kern w:val="0"/>
          <w:sz w:val="28"/>
          <w:szCs w:val="28"/>
          <w:lang w:val="en-US" w:eastAsia="zh-CN"/>
          <w14:textFill>
            <w14:solidFill>
              <w14:schemeClr w14:val="tx1"/>
            </w14:solidFill>
          </w14:textFill>
        </w:rPr>
        <w:t xml:space="preserve">法定代表人（签字）： </w:t>
      </w:r>
    </w:p>
    <w:p w14:paraId="5CA8E80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jc w:val="both"/>
        <w:textAlignment w:val="auto"/>
        <w:rPr>
          <w:rFonts w:hint="default" w:ascii="仿宋" w:hAnsi="仿宋" w:eastAsia="仿宋" w:cs="仿宋"/>
          <w:snapToGrid w:val="0"/>
          <w:color w:val="000000" w:themeColor="text1"/>
          <w:kern w:val="0"/>
          <w:sz w:val="28"/>
          <w:szCs w:val="28"/>
          <w:lang w:val="en-US" w:eastAsia="zh-CN"/>
          <w14:textFill>
            <w14:solidFill>
              <w14:schemeClr w14:val="tx1"/>
            </w14:solidFill>
          </w14:textFill>
        </w:rPr>
      </w:pPr>
    </w:p>
    <w:p w14:paraId="523CFFD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jc w:val="both"/>
        <w:textAlignment w:val="auto"/>
        <w:rPr>
          <w:rFonts w:hint="default" w:ascii="仿宋" w:hAnsi="仿宋" w:eastAsia="仿宋" w:cs="仿宋"/>
          <w:snapToGrid w:val="0"/>
          <w:color w:val="000000" w:themeColor="text1"/>
          <w:kern w:val="0"/>
          <w:sz w:val="28"/>
          <w:szCs w:val="28"/>
          <w:lang w:val="en-US" w:eastAsia="zh-CN"/>
          <w14:textFill>
            <w14:solidFill>
              <w14:schemeClr w14:val="tx1"/>
            </w14:solidFill>
          </w14:textFill>
        </w:rPr>
      </w:pPr>
      <w:r>
        <w:rPr>
          <w:rFonts w:hint="eastAsia" w:ascii="仿宋" w:hAnsi="仿宋" w:eastAsia="仿宋" w:cs="仿宋"/>
          <w:snapToGrid w:val="0"/>
          <w:color w:val="000000" w:themeColor="text1"/>
          <w:kern w:val="0"/>
          <w:sz w:val="28"/>
          <w:szCs w:val="28"/>
          <w:lang w:val="en-US" w:eastAsia="zh-CN"/>
          <w14:textFill>
            <w14:solidFill>
              <w14:schemeClr w14:val="tx1"/>
            </w14:solidFill>
          </w14:textFill>
        </w:rPr>
        <w:t>或</w:t>
      </w:r>
      <w:r>
        <w:rPr>
          <w:rFonts w:hint="default" w:ascii="仿宋" w:hAnsi="仿宋" w:eastAsia="仿宋" w:cs="仿宋"/>
          <w:snapToGrid w:val="0"/>
          <w:color w:val="000000" w:themeColor="text1"/>
          <w:kern w:val="0"/>
          <w:sz w:val="28"/>
          <w:szCs w:val="28"/>
          <w:lang w:val="en-US" w:eastAsia="zh-CN"/>
          <w14:textFill>
            <w14:solidFill>
              <w14:schemeClr w14:val="tx1"/>
            </w14:solidFill>
          </w14:textFill>
        </w:rPr>
        <w:t xml:space="preserve">委托代理人（签字）：        </w:t>
      </w:r>
      <w:r>
        <w:rPr>
          <w:rFonts w:hint="eastAsia" w:ascii="仿宋" w:hAnsi="仿宋" w:eastAsia="仿宋" w:cs="仿宋"/>
          <w:snapToGrid w:val="0"/>
          <w:color w:val="000000" w:themeColor="text1"/>
          <w:kern w:val="0"/>
          <w:sz w:val="28"/>
          <w:szCs w:val="28"/>
          <w:lang w:val="en-US" w:eastAsia="zh-CN"/>
          <w14:textFill>
            <w14:solidFill>
              <w14:schemeClr w14:val="tx1"/>
            </w14:solidFill>
          </w14:textFill>
        </w:rPr>
        <w:t xml:space="preserve">    或</w:t>
      </w:r>
      <w:r>
        <w:rPr>
          <w:rFonts w:hint="default" w:ascii="仿宋" w:hAnsi="仿宋" w:eastAsia="仿宋" w:cs="仿宋"/>
          <w:snapToGrid w:val="0"/>
          <w:color w:val="000000" w:themeColor="text1"/>
          <w:kern w:val="0"/>
          <w:sz w:val="28"/>
          <w:szCs w:val="28"/>
          <w:lang w:val="en-US" w:eastAsia="zh-CN"/>
          <w14:textFill>
            <w14:solidFill>
              <w14:schemeClr w14:val="tx1"/>
            </w14:solidFill>
          </w14:textFill>
        </w:rPr>
        <w:t>委托代理人（签字）：</w:t>
      </w:r>
    </w:p>
    <w:p w14:paraId="6483133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jc w:val="both"/>
        <w:textAlignment w:val="auto"/>
        <w:rPr>
          <w:rFonts w:hint="default" w:ascii="仿宋" w:hAnsi="仿宋" w:eastAsia="仿宋" w:cs="仿宋"/>
          <w:snapToGrid w:val="0"/>
          <w:color w:val="000000" w:themeColor="text1"/>
          <w:kern w:val="0"/>
          <w:sz w:val="28"/>
          <w:szCs w:val="28"/>
          <w:lang w:val="en-US" w:eastAsia="zh-CN"/>
          <w14:textFill>
            <w14:solidFill>
              <w14:schemeClr w14:val="tx1"/>
            </w14:solidFill>
          </w14:textFill>
        </w:rPr>
      </w:pPr>
    </w:p>
    <w:p w14:paraId="215DF8F6">
      <w:r>
        <w:rPr>
          <w:rFonts w:hint="default" w:ascii="仿宋" w:hAnsi="仿宋" w:eastAsia="仿宋" w:cs="仿宋"/>
          <w:snapToGrid w:val="0"/>
          <w:color w:val="000000" w:themeColor="text1"/>
          <w:kern w:val="0"/>
          <w:sz w:val="28"/>
          <w:szCs w:val="28"/>
          <w:lang w:val="en-US" w:eastAsia="zh-CN"/>
          <w14:textFill>
            <w14:solidFill>
              <w14:schemeClr w14:val="tx1"/>
            </w14:solidFill>
          </w14:textFill>
        </w:rPr>
        <w:t>合同签订地</w:t>
      </w:r>
      <w:r>
        <w:rPr>
          <w:rFonts w:hint="eastAsia" w:ascii="仿宋" w:hAnsi="仿宋" w:eastAsia="仿宋" w:cs="仿宋"/>
          <w:snapToGrid w:val="0"/>
          <w:color w:val="000000" w:themeColor="text1"/>
          <w:kern w:val="0"/>
          <w:sz w:val="28"/>
          <w:szCs w:val="28"/>
          <w:lang w:val="en-US" w:eastAsia="zh-CN"/>
          <w14:textFill>
            <w14:solidFill>
              <w14:schemeClr w14:val="tx1"/>
            </w14:solidFill>
          </w14:textFill>
        </w:rPr>
        <w:t>、履行地</w:t>
      </w:r>
      <w:r>
        <w:rPr>
          <w:rFonts w:hint="default" w:ascii="仿宋" w:hAnsi="仿宋" w:eastAsia="仿宋" w:cs="仿宋"/>
          <w:snapToGrid w:val="0"/>
          <w:color w:val="000000" w:themeColor="text1"/>
          <w:kern w:val="0"/>
          <w:sz w:val="28"/>
          <w:szCs w:val="28"/>
          <w:lang w:val="en-US" w:eastAsia="zh-CN"/>
          <w14:textFill>
            <w14:solidFill>
              <w14:schemeClr w14:val="tx1"/>
            </w14:solidFill>
          </w14:textFill>
        </w:rPr>
        <w:t xml:space="preserve">：娄底市娄星区 </w:t>
      </w:r>
      <w:r>
        <w:rPr>
          <w:rFonts w:hint="eastAsia" w:ascii="仿宋" w:hAnsi="仿宋" w:eastAsia="仿宋" w:cs="仿宋"/>
          <w:snapToGrid w:val="0"/>
          <w:color w:val="000000" w:themeColor="text1"/>
          <w:kern w:val="0"/>
          <w:sz w:val="28"/>
          <w:szCs w:val="28"/>
          <w:lang w:val="en-US" w:eastAsia="zh-CN"/>
          <w14:textFill>
            <w14:solidFill>
              <w14:schemeClr w14:val="tx1"/>
            </w14:solidFill>
          </w14:textFill>
        </w:rPr>
        <w:t xml:space="preserve">  </w:t>
      </w:r>
      <w:r>
        <w:rPr>
          <w:rFonts w:hint="default" w:ascii="仿宋" w:hAnsi="仿宋" w:eastAsia="仿宋" w:cs="仿宋"/>
          <w:snapToGrid w:val="0"/>
          <w:color w:val="000000" w:themeColor="text1"/>
          <w:kern w:val="0"/>
          <w:sz w:val="28"/>
          <w:szCs w:val="28"/>
          <w:lang w:val="en-US" w:eastAsia="zh-CN"/>
          <w14:textFill>
            <w14:solidFill>
              <w14:schemeClr w14:val="tx1"/>
            </w14:solidFill>
          </w14:textFill>
        </w:rPr>
        <w:t xml:space="preserve">签订时间：  </w:t>
      </w:r>
      <w:r>
        <w:rPr>
          <w:rFonts w:hint="eastAsia" w:ascii="仿宋" w:hAnsi="仿宋" w:eastAsia="仿宋" w:cs="仿宋"/>
          <w:snapToGrid w:val="0"/>
          <w:color w:val="000000" w:themeColor="text1"/>
          <w:kern w:val="0"/>
          <w:sz w:val="28"/>
          <w:szCs w:val="28"/>
          <w:lang w:val="en-US" w:eastAsia="zh-CN"/>
          <w14:textFill>
            <w14:solidFill>
              <w14:schemeClr w14:val="tx1"/>
            </w14:solidFill>
          </w14:textFill>
        </w:rPr>
        <w:t xml:space="preserve">  </w:t>
      </w:r>
      <w:r>
        <w:rPr>
          <w:rFonts w:hint="default" w:ascii="仿宋" w:hAnsi="仿宋" w:eastAsia="仿宋" w:cs="仿宋"/>
          <w:snapToGrid w:val="0"/>
          <w:color w:val="000000" w:themeColor="text1"/>
          <w:kern w:val="0"/>
          <w:sz w:val="28"/>
          <w:szCs w:val="28"/>
          <w:lang w:val="en-US" w:eastAsia="zh-CN"/>
          <w14:textFill>
            <w14:solidFill>
              <w14:schemeClr w14:val="tx1"/>
            </w14:solidFill>
          </w14:textFill>
        </w:rPr>
        <w:t xml:space="preserve">年  </w:t>
      </w:r>
      <w:r>
        <w:rPr>
          <w:rFonts w:hint="eastAsia" w:ascii="仿宋" w:hAnsi="仿宋" w:eastAsia="仿宋" w:cs="仿宋"/>
          <w:snapToGrid w:val="0"/>
          <w:color w:val="000000" w:themeColor="text1"/>
          <w:kern w:val="0"/>
          <w:sz w:val="28"/>
          <w:szCs w:val="28"/>
          <w:lang w:val="en-US" w:eastAsia="zh-CN"/>
          <w14:textFill>
            <w14:solidFill>
              <w14:schemeClr w14:val="tx1"/>
            </w14:solidFill>
          </w14:textFill>
        </w:rPr>
        <w:t xml:space="preserve"> </w:t>
      </w:r>
      <w:r>
        <w:rPr>
          <w:rFonts w:hint="default" w:ascii="仿宋" w:hAnsi="仿宋" w:eastAsia="仿宋" w:cs="仿宋"/>
          <w:snapToGrid w:val="0"/>
          <w:color w:val="000000" w:themeColor="text1"/>
          <w:kern w:val="0"/>
          <w:sz w:val="28"/>
          <w:szCs w:val="28"/>
          <w:lang w:val="en-US" w:eastAsia="zh-CN"/>
          <w14:textFill>
            <w14:solidFill>
              <w14:schemeClr w14:val="tx1"/>
            </w14:solidFill>
          </w14:textFill>
        </w:rPr>
        <w:t xml:space="preserve">月 </w:t>
      </w:r>
      <w:r>
        <w:rPr>
          <w:rFonts w:hint="eastAsia" w:ascii="仿宋" w:hAnsi="仿宋" w:eastAsia="仿宋" w:cs="仿宋"/>
          <w:snapToGrid w:val="0"/>
          <w:color w:val="000000" w:themeColor="text1"/>
          <w:kern w:val="0"/>
          <w:sz w:val="28"/>
          <w:szCs w:val="28"/>
          <w:lang w:val="en-US" w:eastAsia="zh-CN"/>
          <w14:textFill>
            <w14:solidFill>
              <w14:schemeClr w14:val="tx1"/>
            </w14:solidFill>
          </w14:textFill>
        </w:rPr>
        <w:t xml:space="preserve">  </w:t>
      </w:r>
      <w:r>
        <w:rPr>
          <w:rFonts w:hint="default" w:ascii="仿宋" w:hAnsi="仿宋" w:eastAsia="仿宋" w:cs="仿宋"/>
          <w:snapToGrid w:val="0"/>
          <w:color w:val="000000" w:themeColor="text1"/>
          <w:kern w:val="0"/>
          <w:sz w:val="28"/>
          <w:szCs w:val="28"/>
          <w:lang w:val="en-US" w:eastAsia="zh-CN"/>
          <w14:textFill>
            <w14:solidFill>
              <w14:schemeClr w14:val="tx1"/>
            </w14:solidFill>
          </w14:textFill>
        </w:rPr>
        <w:t>日</w:t>
      </w:r>
    </w:p>
    <w:p w14:paraId="52FA9DC6">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lang w:val="en-US" w:eastAsia="zh-CN"/>
        </w:rPr>
      </w:pPr>
    </w:p>
    <w:p w14:paraId="5C086BF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lang w:val="en-US" w:eastAsia="zh-CN"/>
        </w:rPr>
      </w:pPr>
    </w:p>
    <w:p w14:paraId="040B4A67">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color w:val="000000" w:themeColor="text1"/>
          <w:sz w:val="24"/>
          <w:szCs w:val="24"/>
          <w14:textFill>
            <w14:solidFill>
              <w14:schemeClr w14:val="tx1"/>
            </w14:solidFill>
          </w14:textFill>
        </w:rPr>
      </w:pPr>
    </w:p>
    <w:p w14:paraId="1FC661A5">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szCs w:val="24"/>
          <w:lang w:val="en-US" w:eastAsia="zh-CN"/>
        </w:rPr>
      </w:pPr>
    </w:p>
    <w:p w14:paraId="2B650945">
      <w:pPr>
        <w:rPr>
          <w:rFonts w:hint="default" w:ascii="宋体" w:hAnsi="宋体" w:eastAsia="宋体" w:cs="宋体"/>
          <w:color w:val="auto"/>
          <w:sz w:val="24"/>
          <w:szCs w:val="24"/>
          <w:lang w:val="en-US" w:eastAsia="zh-CN"/>
        </w:rPr>
      </w:pPr>
      <w:r>
        <w:rPr>
          <w:rFonts w:hint="eastAsia" w:ascii="黑体" w:hAnsi="黑体" w:eastAsia="黑体" w:cs="黑体"/>
          <w:sz w:val="32"/>
          <w:szCs w:val="32"/>
          <w:lang w:val="en-US" w:eastAsia="zh-CN"/>
        </w:rPr>
        <w:br w:type="page"/>
      </w:r>
    </w:p>
    <w:p w14:paraId="5884363F">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14:paraId="2E838F4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1"/>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1CAD04D">
      <w:pPr>
        <w:pStyle w:val="20"/>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19"/>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4"/>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4"/>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6D90F51D">
      <w:pPr>
        <w:pStyle w:val="19"/>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20"/>
        <w:rPr>
          <w:color w:val="auto"/>
        </w:rPr>
      </w:pPr>
    </w:p>
    <w:p w14:paraId="5EEA99A1">
      <w:pPr>
        <w:pStyle w:val="19"/>
        <w:rPr>
          <w:rFonts w:hint="eastAsia"/>
          <w:lang w:eastAsia="zh-CN"/>
        </w:rPr>
      </w:pPr>
    </w:p>
    <w:p w14:paraId="4F73B9B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KSOFE44F9426">
    <w:panose1 w:val="02010609060101010101"/>
    <w:charset w:val="86"/>
    <w:family w:val="auto"/>
    <w:pitch w:val="default"/>
    <w:sig w:usb0="00000001" w:usb1="00000000" w:usb2="00000000" w:usb3="00000000" w:csb0="00040001" w:csb1="00000000"/>
  </w:font>
  <w:font w:name="KSOF557087D0">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9"/>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9"/>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9"/>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9"/>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9"/>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1350E35"/>
    <w:rsid w:val="02390242"/>
    <w:rsid w:val="03E43FAE"/>
    <w:rsid w:val="04653F41"/>
    <w:rsid w:val="04B72FC8"/>
    <w:rsid w:val="04F57A38"/>
    <w:rsid w:val="050719CA"/>
    <w:rsid w:val="06934BAA"/>
    <w:rsid w:val="06E91EC4"/>
    <w:rsid w:val="086F75C9"/>
    <w:rsid w:val="09C0303A"/>
    <w:rsid w:val="0A3F4F3C"/>
    <w:rsid w:val="0A6D3244"/>
    <w:rsid w:val="0A8A74D4"/>
    <w:rsid w:val="0CAD77BD"/>
    <w:rsid w:val="0CD87BD4"/>
    <w:rsid w:val="0E331420"/>
    <w:rsid w:val="0E3A4761"/>
    <w:rsid w:val="0EBC028B"/>
    <w:rsid w:val="0EDD1643"/>
    <w:rsid w:val="0FB9029C"/>
    <w:rsid w:val="10897B23"/>
    <w:rsid w:val="10914EF9"/>
    <w:rsid w:val="10B8663C"/>
    <w:rsid w:val="12080B62"/>
    <w:rsid w:val="12994AC5"/>
    <w:rsid w:val="129F447F"/>
    <w:rsid w:val="12C86253"/>
    <w:rsid w:val="14E40477"/>
    <w:rsid w:val="15060AC8"/>
    <w:rsid w:val="15125EAE"/>
    <w:rsid w:val="15675A4C"/>
    <w:rsid w:val="15B67DFF"/>
    <w:rsid w:val="163301F0"/>
    <w:rsid w:val="17F91BB8"/>
    <w:rsid w:val="193E7D91"/>
    <w:rsid w:val="1943608F"/>
    <w:rsid w:val="19E40286"/>
    <w:rsid w:val="19E91315"/>
    <w:rsid w:val="1AF56B46"/>
    <w:rsid w:val="1CE412C7"/>
    <w:rsid w:val="1D5071B5"/>
    <w:rsid w:val="1DD7486D"/>
    <w:rsid w:val="1E79119D"/>
    <w:rsid w:val="1F334F58"/>
    <w:rsid w:val="1F796B24"/>
    <w:rsid w:val="1FC602A8"/>
    <w:rsid w:val="1FE73549"/>
    <w:rsid w:val="2038045E"/>
    <w:rsid w:val="20AF0900"/>
    <w:rsid w:val="20B41DA7"/>
    <w:rsid w:val="21C61C7A"/>
    <w:rsid w:val="2383771E"/>
    <w:rsid w:val="23F374DB"/>
    <w:rsid w:val="24881A32"/>
    <w:rsid w:val="25266F96"/>
    <w:rsid w:val="267547DF"/>
    <w:rsid w:val="272B6E6C"/>
    <w:rsid w:val="27B626C7"/>
    <w:rsid w:val="27CF2BB7"/>
    <w:rsid w:val="2821285F"/>
    <w:rsid w:val="28501465"/>
    <w:rsid w:val="28E81B29"/>
    <w:rsid w:val="28FD390A"/>
    <w:rsid w:val="29B45A41"/>
    <w:rsid w:val="2A174DA9"/>
    <w:rsid w:val="2AB010A8"/>
    <w:rsid w:val="2AC66F99"/>
    <w:rsid w:val="2C0A2E19"/>
    <w:rsid w:val="2C7642D0"/>
    <w:rsid w:val="2C8B7C6A"/>
    <w:rsid w:val="2CC97A35"/>
    <w:rsid w:val="2DD77C64"/>
    <w:rsid w:val="2DDA1E78"/>
    <w:rsid w:val="2DE00B8C"/>
    <w:rsid w:val="2EAC037F"/>
    <w:rsid w:val="2EB67A5C"/>
    <w:rsid w:val="302741D2"/>
    <w:rsid w:val="308B184D"/>
    <w:rsid w:val="309C1E01"/>
    <w:rsid w:val="30BB11DD"/>
    <w:rsid w:val="31F17CD1"/>
    <w:rsid w:val="324F4D43"/>
    <w:rsid w:val="33384C93"/>
    <w:rsid w:val="340F06E9"/>
    <w:rsid w:val="34C12F54"/>
    <w:rsid w:val="34F140E5"/>
    <w:rsid w:val="366241E2"/>
    <w:rsid w:val="36B66AAC"/>
    <w:rsid w:val="36E47928"/>
    <w:rsid w:val="372F7378"/>
    <w:rsid w:val="37BA0809"/>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403B4B34"/>
    <w:rsid w:val="4140452A"/>
    <w:rsid w:val="414D7889"/>
    <w:rsid w:val="41BB0BAE"/>
    <w:rsid w:val="4222229D"/>
    <w:rsid w:val="425629F5"/>
    <w:rsid w:val="4284152B"/>
    <w:rsid w:val="429A4992"/>
    <w:rsid w:val="435B161D"/>
    <w:rsid w:val="43B25DAC"/>
    <w:rsid w:val="44771DFD"/>
    <w:rsid w:val="45D569C3"/>
    <w:rsid w:val="46B92BDB"/>
    <w:rsid w:val="479B74B7"/>
    <w:rsid w:val="48735221"/>
    <w:rsid w:val="49E92B05"/>
    <w:rsid w:val="4A1744C7"/>
    <w:rsid w:val="4A354E62"/>
    <w:rsid w:val="4AEE1A11"/>
    <w:rsid w:val="4B7F39F4"/>
    <w:rsid w:val="4BAE646F"/>
    <w:rsid w:val="4C06451A"/>
    <w:rsid w:val="4CAC1559"/>
    <w:rsid w:val="4D754257"/>
    <w:rsid w:val="4DCD6AB3"/>
    <w:rsid w:val="4DDD6104"/>
    <w:rsid w:val="4EE7662F"/>
    <w:rsid w:val="50216DCD"/>
    <w:rsid w:val="50540C20"/>
    <w:rsid w:val="506258C6"/>
    <w:rsid w:val="51AC28BD"/>
    <w:rsid w:val="52183ACC"/>
    <w:rsid w:val="5263427E"/>
    <w:rsid w:val="53B55872"/>
    <w:rsid w:val="544055F2"/>
    <w:rsid w:val="54AD4386"/>
    <w:rsid w:val="5587625E"/>
    <w:rsid w:val="55D8243C"/>
    <w:rsid w:val="56483C8F"/>
    <w:rsid w:val="581A7C72"/>
    <w:rsid w:val="583A4BD7"/>
    <w:rsid w:val="59C74B1F"/>
    <w:rsid w:val="5A886F59"/>
    <w:rsid w:val="604D5946"/>
    <w:rsid w:val="611B6B1B"/>
    <w:rsid w:val="62030FF0"/>
    <w:rsid w:val="62C222C2"/>
    <w:rsid w:val="632D7C40"/>
    <w:rsid w:val="64133D6A"/>
    <w:rsid w:val="64245572"/>
    <w:rsid w:val="66C30AF5"/>
    <w:rsid w:val="678E4F5D"/>
    <w:rsid w:val="67F3562A"/>
    <w:rsid w:val="680E122C"/>
    <w:rsid w:val="6A4E1D63"/>
    <w:rsid w:val="6B592423"/>
    <w:rsid w:val="6C486FE4"/>
    <w:rsid w:val="6CA409DF"/>
    <w:rsid w:val="6D1F4F4D"/>
    <w:rsid w:val="6DE375E4"/>
    <w:rsid w:val="6E8E5287"/>
    <w:rsid w:val="6FAC3B48"/>
    <w:rsid w:val="6FAD463B"/>
    <w:rsid w:val="6FBE332C"/>
    <w:rsid w:val="70CE0BC9"/>
    <w:rsid w:val="71554367"/>
    <w:rsid w:val="71584067"/>
    <w:rsid w:val="71F26E91"/>
    <w:rsid w:val="735201FF"/>
    <w:rsid w:val="737B50A4"/>
    <w:rsid w:val="73F40E72"/>
    <w:rsid w:val="74566F5C"/>
    <w:rsid w:val="750117A8"/>
    <w:rsid w:val="751301BD"/>
    <w:rsid w:val="755B2270"/>
    <w:rsid w:val="75E27514"/>
    <w:rsid w:val="7612420D"/>
    <w:rsid w:val="76920D75"/>
    <w:rsid w:val="76C47877"/>
    <w:rsid w:val="77423DFF"/>
    <w:rsid w:val="783B5EA9"/>
    <w:rsid w:val="79EB699D"/>
    <w:rsid w:val="7B0620DE"/>
    <w:rsid w:val="7BBF44BB"/>
    <w:rsid w:val="7BF15CE4"/>
    <w:rsid w:val="7C3A27E5"/>
    <w:rsid w:val="7D9727DD"/>
    <w:rsid w:val="7EFB4F6E"/>
    <w:rsid w:val="7F164138"/>
    <w:rsid w:val="7F1A5E95"/>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1"/>
    <w:qFormat/>
    <w:uiPriority w:val="99"/>
    <w:pPr>
      <w:spacing w:line="400" w:lineRule="exact"/>
      <w:ind w:left="630"/>
    </w:pPr>
    <w:rPr>
      <w:rFonts w:ascii="楷体_GB2312"/>
      <w:sz w:val="30"/>
      <w:szCs w:val="30"/>
    </w:rPr>
  </w:style>
  <w:style w:type="paragraph" w:styleId="7">
    <w:name w:val="Plain Text"/>
    <w:basedOn w:val="1"/>
    <w:qFormat/>
    <w:uiPriority w:val="0"/>
    <w:rPr>
      <w:rFonts w:ascii="宋体" w:hAnsi="Courier New" w:cs="Courier New"/>
      <w:szCs w:val="21"/>
    </w:rPr>
  </w:style>
  <w:style w:type="paragraph" w:styleId="8">
    <w:name w:val="Date"/>
    <w:basedOn w:val="1"/>
    <w:next w:val="1"/>
    <w:qFormat/>
    <w:uiPriority w:val="0"/>
    <w:rPr>
      <w:color w:val="000000"/>
      <w:kern w:val="0"/>
      <w:sz w:val="30"/>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0"/>
    <w:pPr>
      <w:spacing w:after="120" w:line="480" w:lineRule="auto"/>
    </w:pPr>
  </w:style>
  <w:style w:type="paragraph" w:styleId="12">
    <w:name w:val="Normal (Web)"/>
    <w:basedOn w:val="1"/>
    <w:qFormat/>
    <w:uiPriority w:val="0"/>
    <w:rPr>
      <w:sz w:val="24"/>
    </w:rPr>
  </w:style>
  <w:style w:type="paragraph" w:styleId="13">
    <w:name w:val="Body Text First Indent 2"/>
    <w:basedOn w:val="6"/>
    <w:next w:val="4"/>
    <w:qFormat/>
    <w:uiPriority w:val="0"/>
    <w:pPr>
      <w:overflowPunct w:val="0"/>
      <w:adjustRightInd w:val="0"/>
      <w:spacing w:line="500" w:lineRule="exact"/>
      <w:ind w:firstLine="420" w:firstLineChars="200"/>
      <w:textAlignment w:val="baseline"/>
    </w:pPr>
    <w:rPr>
      <w:rFonts w:eastAsia="仿宋_GB2312"/>
      <w:kern w:val="28"/>
      <w:sz w:val="28"/>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8">
    <w:name w:val="大标题"/>
    <w:basedOn w:val="1"/>
    <w:next w:val="13"/>
    <w:qFormat/>
    <w:uiPriority w:val="0"/>
    <w:pPr>
      <w:jc w:val="center"/>
    </w:pPr>
    <w:rPr>
      <w:rFonts w:ascii="Arial" w:hAnsi="Arial" w:eastAsia="宋体"/>
      <w:b/>
      <w:sz w:val="28"/>
      <w:szCs w:val="24"/>
    </w:rPr>
  </w:style>
  <w:style w:type="paragraph" w:customStyle="1" w:styleId="19">
    <w:name w:val="列出段落1"/>
    <w:basedOn w:val="1"/>
    <w:qFormat/>
    <w:uiPriority w:val="99"/>
    <w:pPr>
      <w:ind w:firstLine="420" w:firstLineChars="200"/>
    </w:pPr>
  </w:style>
  <w:style w:type="paragraph" w:customStyle="1" w:styleId="20">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1">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7211</Words>
  <Characters>7528</Characters>
  <Lines>0</Lines>
  <Paragraphs>0</Paragraphs>
  <TotalTime>0</TotalTime>
  <ScaleCrop>false</ScaleCrop>
  <LinksUpToDate>false</LinksUpToDate>
  <CharactersWithSpaces>8399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2026-03-24T01:38:42Z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3505A2AB25E048A4A9B0E6A6741CA1BA_11</vt:lpwstr>
  </property>
  <property fmtid="{D5CDD505-2E9C-101B-9397-08002B2CF9AE}" pid="4" name="KSOTemplateDocerSaveRecord">
    <vt:lpwstr>eyJoZGlkIjoiOWU3YmMxNGQ0NDE0NTRiYjQ3MWFkZjk1MWM2MTc2NWEiLCJ1c2VySWQiOiI0NDIzNjcyODQifQ==</vt:lpwstr>
  </property>
</Properties>
</file>