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5"/>
        <w:snapToGrid w:val="0"/>
        <w:jc w:val="center"/>
        <w:rPr>
          <w:rFonts w:hint="eastAsia" w:ascii="Arial" w:hAnsi="Arial" w:eastAsia="方正小标宋简体" w:cs="Arial"/>
          <w:sz w:val="72"/>
          <w:szCs w:val="72"/>
        </w:rPr>
      </w:pPr>
      <w:bookmarkStart w:id="0" w:name="_Toc16523570"/>
    </w:p>
    <w:p w14:paraId="1B95787E">
      <w:pPr>
        <w:pStyle w:val="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5"/>
        <w:snapToGrid w:val="0"/>
        <w:jc w:val="center"/>
        <w:rPr>
          <w:rFonts w:hint="eastAsia" w:ascii="Arial" w:hAnsi="Arial" w:eastAsia="方正小标宋简体" w:cs="Arial"/>
          <w:sz w:val="72"/>
          <w:szCs w:val="72"/>
        </w:rPr>
      </w:pPr>
    </w:p>
    <w:p w14:paraId="65C368DD">
      <w:pPr>
        <w:pStyle w:val="5"/>
        <w:snapToGrid w:val="0"/>
        <w:jc w:val="center"/>
        <w:rPr>
          <w:rFonts w:hint="eastAsia" w:ascii="Arial" w:hAnsi="Arial" w:eastAsia="方正小标宋简体" w:cs="Arial"/>
          <w:sz w:val="72"/>
          <w:szCs w:val="72"/>
        </w:rPr>
      </w:pPr>
    </w:p>
    <w:p w14:paraId="11616A47">
      <w:pPr>
        <w:pStyle w:val="5"/>
        <w:snapToGrid w:val="0"/>
        <w:jc w:val="center"/>
        <w:rPr>
          <w:rFonts w:hint="eastAsia" w:ascii="Arial" w:hAnsi="Arial" w:eastAsia="方正小标宋简体" w:cs="Arial"/>
          <w:sz w:val="72"/>
          <w:szCs w:val="72"/>
        </w:rPr>
      </w:pPr>
    </w:p>
    <w:p w14:paraId="39F8D380">
      <w:pPr>
        <w:pStyle w:val="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5"/>
        <w:snapToGrid w:val="0"/>
        <w:jc w:val="center"/>
        <w:rPr>
          <w:rFonts w:ascii="Arial" w:hAnsi="Arial" w:cs="Arial"/>
          <w:sz w:val="32"/>
          <w:szCs w:val="32"/>
        </w:rPr>
      </w:pPr>
    </w:p>
    <w:p w14:paraId="409EB72F">
      <w:pPr>
        <w:pStyle w:val="16"/>
        <w:rPr>
          <w:rFonts w:ascii="Arial" w:hAnsi="Arial" w:cs="Arial"/>
          <w:sz w:val="32"/>
          <w:szCs w:val="32"/>
        </w:rPr>
      </w:pPr>
    </w:p>
    <w:p w14:paraId="668BDAFE">
      <w:pPr>
        <w:pStyle w:val="11"/>
        <w:rPr>
          <w:rFonts w:ascii="Arial" w:hAnsi="Arial" w:cs="Arial"/>
          <w:sz w:val="32"/>
          <w:szCs w:val="32"/>
        </w:rPr>
      </w:pPr>
    </w:p>
    <w:p w14:paraId="30B28264">
      <w:pPr>
        <w:pStyle w:val="11"/>
        <w:rPr>
          <w:rFonts w:ascii="Arial" w:hAnsi="Arial" w:cs="Arial"/>
          <w:sz w:val="32"/>
          <w:szCs w:val="32"/>
        </w:rPr>
      </w:pPr>
    </w:p>
    <w:p w14:paraId="45C922C2">
      <w:pPr>
        <w:pStyle w:val="11"/>
        <w:rPr>
          <w:rFonts w:ascii="Arial" w:hAnsi="Arial" w:cs="Arial"/>
          <w:sz w:val="32"/>
          <w:szCs w:val="32"/>
        </w:rPr>
      </w:pPr>
    </w:p>
    <w:p w14:paraId="0233B328">
      <w:pPr>
        <w:pStyle w:val="11"/>
        <w:rPr>
          <w:rFonts w:ascii="Arial" w:hAnsi="Arial" w:cs="Arial"/>
          <w:sz w:val="32"/>
          <w:szCs w:val="32"/>
        </w:rPr>
      </w:pPr>
    </w:p>
    <w:p w14:paraId="65E4BC6C">
      <w:pPr>
        <w:pStyle w:val="11"/>
        <w:rPr>
          <w:rFonts w:ascii="Arial" w:hAnsi="Arial" w:cs="Arial"/>
          <w:sz w:val="32"/>
          <w:szCs w:val="32"/>
        </w:rPr>
      </w:pPr>
    </w:p>
    <w:p w14:paraId="7577245D">
      <w:pPr>
        <w:pStyle w:val="11"/>
        <w:rPr>
          <w:rFonts w:ascii="Arial" w:hAnsi="Arial" w:cs="Arial"/>
          <w:sz w:val="32"/>
          <w:szCs w:val="32"/>
        </w:rPr>
      </w:pPr>
    </w:p>
    <w:p w14:paraId="5337F494">
      <w:pPr>
        <w:pStyle w:val="11"/>
        <w:rPr>
          <w:rFonts w:ascii="Arial" w:hAnsi="Arial" w:cs="Arial"/>
          <w:sz w:val="32"/>
          <w:szCs w:val="32"/>
        </w:rPr>
      </w:pPr>
    </w:p>
    <w:p w14:paraId="0A4AE94E">
      <w:pPr>
        <w:pStyle w:val="5"/>
        <w:snapToGrid w:val="0"/>
        <w:jc w:val="center"/>
        <w:rPr>
          <w:rFonts w:ascii="Arial" w:hAnsi="Arial" w:cs="Arial"/>
          <w:sz w:val="32"/>
          <w:szCs w:val="32"/>
        </w:rPr>
      </w:pPr>
    </w:p>
    <w:p w14:paraId="13C7226F">
      <w:pPr>
        <w:pStyle w:val="5"/>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钬激光维保</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钬激光维保</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钬激光维保</w:t>
      </w:r>
      <w:r>
        <w:rPr>
          <w:rFonts w:hint="eastAsia" w:asciiTheme="minorEastAsia" w:hAnsiTheme="minorEastAsia" w:eastAsiaTheme="minorEastAsia" w:cstheme="minorEastAsia"/>
          <w:b w:val="0"/>
          <w:bCs/>
          <w:color w:val="auto"/>
          <w:sz w:val="24"/>
          <w:szCs w:val="24"/>
          <w:lang w:val="en-US" w:eastAsia="zh-CN"/>
        </w:rPr>
        <w:t>项目</w:t>
      </w:r>
    </w:p>
    <w:p w14:paraId="0CDBF21C">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6"/>
        <w:rPr>
          <w:rFonts w:hint="eastAsia"/>
          <w:lang w:val="en-US" w:eastAsia="zh-CN"/>
        </w:rPr>
      </w:pPr>
    </w:p>
    <w:p w14:paraId="7E250597">
      <w:pPr>
        <w:pStyle w:val="16"/>
        <w:jc w:val="both"/>
        <w:rPr>
          <w:rFonts w:hint="default"/>
          <w:lang w:val="en-US" w:eastAsia="zh-CN"/>
        </w:rPr>
      </w:pPr>
    </w:p>
    <w:p w14:paraId="22CD3DC2">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6"/>
        <w:rPr>
          <w:rFonts w:hint="eastAsia" w:ascii="宋体" w:hAnsi="宋体" w:cs="宋体"/>
          <w:b/>
          <w:bCs/>
          <w:color w:val="auto"/>
          <w:sz w:val="44"/>
          <w:szCs w:val="44"/>
          <w:lang w:val="en-US" w:eastAsia="zh-CN"/>
        </w:rPr>
      </w:pPr>
    </w:p>
    <w:p w14:paraId="6DFDBEAA">
      <w:pPr>
        <w:pStyle w:val="11"/>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5"/>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2"/>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设备</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维保年限（年）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钬激光维保</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36</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1C9EE6F">
      <w:pPr>
        <w:spacing w:line="360" w:lineRule="auto"/>
        <w:ind w:firstLine="480" w:firstLineChars="200"/>
        <w:rPr>
          <w:rFonts w:hint="eastAsia"/>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1、爱科凯能钬激光维保具有提供备用激光器平台能力。</w:t>
      </w:r>
    </w:p>
    <w:p w14:paraId="0F6285B0">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2、在中国区拥有悍马钬激光原装配件仓库及悍马钬激光光纤备品，能在24小时内提供原装配件。</w:t>
      </w:r>
    </w:p>
    <w:p w14:paraId="66B0B265">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3、维修通知时起24小时内赶到现场，如属小修应在接到维修通知时起36小时内完成维修（含在途时间），如需要大修，维修通知时起78小时内提供同品质备用机，并在接到维修通知时起5天内完成维修（含在途时间）,疑难故障或其它特殊情况下不能完成应提供备用品给甲方时，紧急响应应在2小时内，紧急故障维修应在12小时内响应。</w:t>
      </w:r>
    </w:p>
    <w:p w14:paraId="26D9C793">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4、投标人承诺协议期内的设备总开机率为95%,时间最小计量单位为天。需提供完整的维保方案。</w:t>
      </w:r>
    </w:p>
    <w:p w14:paraId="354683AC">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5、一年不少5次设备正常保养维护，每季度不少于1次；每两次保养至少更换1次氙灯等其他易耗品；每次保养必须更换干燥剂等常规易耗品；每年更换2次水流净化系统处理；爱科凯能钬激光每年更换1次激光发射器。年保期限内更换的配件均免费（耗材光纤除外）。</w:t>
      </w:r>
    </w:p>
    <w:p w14:paraId="1017F7CE">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6、合同生效后30日内向甲方免费提供TRIMEDYE钬激光设备配套B200进口光纤贰根（200微米光纤）。</w:t>
      </w:r>
    </w:p>
    <w:p w14:paraId="60B7C2B5">
      <w:pPr>
        <w:spacing w:line="360" w:lineRule="auto"/>
        <w:ind w:firstLine="480" w:firstLineChars="200"/>
        <w:rPr>
          <w:rFonts w:hint="eastAsia" w:ascii="Times New Roman" w:hAnsi="Times New Roman" w:eastAsia="宋体"/>
          <w:b w:val="0"/>
          <w:bCs/>
          <w:sz w:val="24"/>
          <w:lang w:val="en-US" w:eastAsia="zh-CN"/>
        </w:rPr>
      </w:pPr>
      <w:r>
        <w:rPr>
          <w:rFonts w:hint="eastAsia"/>
          <w:b w:val="0"/>
          <w:bCs/>
          <w:sz w:val="24"/>
          <w:lang w:val="en-US" w:eastAsia="zh-CN"/>
        </w:rPr>
        <w:t>7、维保设备品牌型号：Trimedyne钬激光，1210-VHP。爱科凯能钬激光，ACCU-H2H。</w:t>
      </w:r>
    </w:p>
    <w:p w14:paraId="2DD07293">
      <w:pPr>
        <w:pStyle w:val="11"/>
        <w:rPr>
          <w:rFonts w:hint="default"/>
          <w:lang w:val="en-US" w:eastAsia="zh-CN"/>
        </w:rPr>
      </w:pPr>
    </w:p>
    <w:p w14:paraId="002EA66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212FD74A">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8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合同编号：</w:t>
      </w:r>
    </w:p>
    <w:p w14:paraId="3EA85657">
      <w:pPr>
        <w:spacing w:line="360" w:lineRule="auto"/>
        <w:jc w:val="center"/>
        <w:rPr>
          <w:rFonts w:ascii="微软雅黑" w:hAnsi="微软雅黑" w:eastAsia="微软雅黑" w:cs="微软雅黑"/>
          <w:sz w:val="36"/>
          <w:szCs w:val="36"/>
        </w:rPr>
      </w:pPr>
      <w:r>
        <w:rPr>
          <w:rFonts w:hint="eastAsia" w:ascii="方正小标宋简体" w:hAnsi="方正小标宋简体" w:eastAsia="方正小标宋简体" w:cs="方正小标宋简体"/>
          <w:b w:val="0"/>
          <w:bCs w:val="0"/>
          <w:sz w:val="44"/>
          <w:szCs w:val="44"/>
        </w:rPr>
        <w:t>医疗设备维保服务合同</w:t>
      </w:r>
    </w:p>
    <w:p w14:paraId="6A211CD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b/>
          <w:bCs/>
          <w:sz w:val="24"/>
        </w:rPr>
      </w:pPr>
    </w:p>
    <w:p w14:paraId="371BD493">
      <w:pPr>
        <w:spacing w:line="480" w:lineRule="exact"/>
        <w:rPr>
          <w:rFonts w:ascii="宋体" w:hAnsi="宋体" w:eastAsia="宋体" w:cs="宋体"/>
          <w:sz w:val="24"/>
        </w:rPr>
      </w:pPr>
      <w:r>
        <w:rPr>
          <w:rFonts w:hint="eastAsia" w:ascii="宋体" w:hAnsi="宋体" w:eastAsia="宋体" w:cs="宋体"/>
          <w:b/>
          <w:bCs/>
          <w:sz w:val="24"/>
        </w:rPr>
        <w:t>甲方（采购方）：</w:t>
      </w:r>
      <w:r>
        <w:rPr>
          <w:rFonts w:hint="eastAsia" w:ascii="宋体" w:hAnsi="宋体" w:eastAsia="宋体" w:cs="宋体"/>
          <w:sz w:val="24"/>
        </w:rPr>
        <w:t>娄底市中心医院</w:t>
      </w:r>
    </w:p>
    <w:p w14:paraId="6415873D">
      <w:pPr>
        <w:spacing w:line="480" w:lineRule="exact"/>
        <w:rPr>
          <w:rFonts w:ascii="宋体" w:hAnsi="宋体" w:eastAsia="宋体" w:cs="宋体"/>
          <w:sz w:val="24"/>
        </w:rPr>
      </w:pPr>
      <w:r>
        <w:rPr>
          <w:rFonts w:hint="eastAsia" w:ascii="宋体" w:hAnsi="宋体" w:eastAsia="宋体" w:cs="宋体"/>
          <w:sz w:val="24"/>
        </w:rPr>
        <w:t>法定代表人：杨吉军</w:t>
      </w:r>
    </w:p>
    <w:p w14:paraId="45CFCE20">
      <w:pPr>
        <w:spacing w:line="480" w:lineRule="exact"/>
        <w:rPr>
          <w:rFonts w:ascii="宋体" w:hAnsi="宋体" w:eastAsia="宋体" w:cs="宋体"/>
          <w:sz w:val="24"/>
        </w:rPr>
      </w:pPr>
      <w:r>
        <w:rPr>
          <w:rFonts w:hint="eastAsia" w:ascii="宋体" w:hAnsi="宋体" w:eastAsia="宋体" w:cs="宋体"/>
          <w:sz w:val="24"/>
        </w:rPr>
        <w:t>统一社会信用代码：12431300447162073W</w:t>
      </w:r>
    </w:p>
    <w:p w14:paraId="24ECD1D1">
      <w:pPr>
        <w:spacing w:line="480" w:lineRule="exact"/>
        <w:rPr>
          <w:rFonts w:ascii="宋体" w:hAnsi="宋体" w:eastAsia="宋体" w:cs="宋体"/>
          <w:sz w:val="24"/>
        </w:rPr>
      </w:pPr>
      <w:r>
        <w:rPr>
          <w:rFonts w:hint="eastAsia" w:ascii="宋体" w:hAnsi="宋体" w:eastAsia="宋体" w:cs="宋体"/>
          <w:sz w:val="24"/>
        </w:rPr>
        <w:t>地址：湖南省娄底市娄星区长青中街51号</w:t>
      </w:r>
    </w:p>
    <w:p w14:paraId="651D85CD">
      <w:pPr>
        <w:spacing w:line="480" w:lineRule="exact"/>
        <w:rPr>
          <w:rFonts w:hint="default" w:ascii="宋体" w:hAnsi="宋体" w:eastAsia="宋体" w:cs="宋体"/>
          <w:sz w:val="24"/>
          <w:lang w:val="en-US" w:eastAsia="zh-CN"/>
        </w:rPr>
      </w:pPr>
      <w:r>
        <w:rPr>
          <w:rFonts w:hint="eastAsia" w:ascii="宋体" w:hAnsi="宋体" w:eastAsia="宋体" w:cs="宋体"/>
          <w:sz w:val="24"/>
        </w:rPr>
        <w:t>联系人：</w:t>
      </w:r>
      <w:r>
        <w:rPr>
          <w:rFonts w:hint="eastAsia" w:ascii="宋体" w:hAnsi="宋体" w:cs="宋体"/>
          <w:sz w:val="24"/>
          <w:lang w:val="en-US" w:eastAsia="zh-CN"/>
        </w:rPr>
        <w:t>刘子文</w:t>
      </w:r>
    </w:p>
    <w:p w14:paraId="637663D0">
      <w:pPr>
        <w:spacing w:line="480" w:lineRule="exact"/>
        <w:rPr>
          <w:rFonts w:hint="default" w:ascii="宋体" w:hAnsi="宋体" w:eastAsia="宋体" w:cs="宋体"/>
          <w:sz w:val="24"/>
          <w:lang w:val="en-US" w:eastAsia="zh-CN"/>
        </w:rPr>
      </w:pPr>
      <w:r>
        <w:rPr>
          <w:rFonts w:hint="eastAsia" w:ascii="宋体" w:hAnsi="宋体" w:eastAsia="宋体" w:cs="宋体"/>
          <w:sz w:val="24"/>
        </w:rPr>
        <w:t>联系电话：13</w:t>
      </w:r>
      <w:r>
        <w:rPr>
          <w:rFonts w:hint="eastAsia" w:ascii="宋体" w:hAnsi="宋体" w:cs="宋体"/>
          <w:sz w:val="24"/>
          <w:lang w:val="en-US" w:eastAsia="zh-CN"/>
        </w:rPr>
        <w:t>762299668</w:t>
      </w:r>
    </w:p>
    <w:p w14:paraId="2842721C">
      <w:pPr>
        <w:spacing w:line="480" w:lineRule="exact"/>
        <w:rPr>
          <w:rFonts w:ascii="宋体" w:hAnsi="宋体" w:eastAsia="宋体" w:cs="宋体"/>
          <w:sz w:val="24"/>
        </w:rPr>
      </w:pPr>
      <w:r>
        <w:rPr>
          <w:rFonts w:hint="eastAsia" w:ascii="宋体" w:hAnsi="宋体" w:eastAsia="宋体" w:cs="宋体"/>
          <w:b/>
          <w:bCs/>
          <w:sz w:val="24"/>
        </w:rPr>
        <w:t>乙方（供货方）：</w:t>
      </w:r>
    </w:p>
    <w:p w14:paraId="46C3EC21">
      <w:pPr>
        <w:spacing w:line="480" w:lineRule="exact"/>
        <w:rPr>
          <w:rFonts w:ascii="宋体" w:hAnsi="宋体" w:eastAsia="宋体" w:cs="宋体"/>
          <w:sz w:val="24"/>
        </w:rPr>
      </w:pPr>
      <w:r>
        <w:rPr>
          <w:rFonts w:hint="eastAsia" w:ascii="宋体" w:hAnsi="宋体" w:eastAsia="宋体" w:cs="宋体"/>
          <w:sz w:val="24"/>
        </w:rPr>
        <w:t>法定代表人：</w:t>
      </w:r>
    </w:p>
    <w:p w14:paraId="783DB0AC">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22259A77">
      <w:pPr>
        <w:spacing w:line="480" w:lineRule="exact"/>
        <w:rPr>
          <w:rFonts w:hint="eastAsia" w:ascii="宋体" w:hAnsi="宋体" w:eastAsia="宋体" w:cs="宋体"/>
          <w:sz w:val="24"/>
        </w:rPr>
      </w:pPr>
      <w:r>
        <w:rPr>
          <w:rFonts w:hint="eastAsia" w:ascii="宋体" w:hAnsi="宋体" w:eastAsia="宋体" w:cs="宋体"/>
          <w:sz w:val="24"/>
        </w:rPr>
        <w:t>地址：</w:t>
      </w:r>
    </w:p>
    <w:p w14:paraId="11A43534">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282C5DA1">
      <w:pPr>
        <w:widowControl/>
        <w:spacing w:line="480" w:lineRule="exact"/>
        <w:rPr>
          <w:rFonts w:hint="eastAsia" w:ascii="宋体" w:hAnsi="宋体" w:eastAsia="宋体" w:cs="宋体"/>
          <w:sz w:val="24"/>
        </w:rPr>
      </w:pPr>
      <w:r>
        <w:rPr>
          <w:rFonts w:hint="eastAsia" w:ascii="宋体" w:hAnsi="宋体" w:eastAsia="宋体" w:cs="宋体"/>
          <w:sz w:val="24"/>
        </w:rPr>
        <w:t>联系电话：</w:t>
      </w:r>
    </w:p>
    <w:p w14:paraId="1379F319">
      <w:pPr>
        <w:pStyle w:val="17"/>
      </w:pPr>
    </w:p>
    <w:p w14:paraId="44854031">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甲方通过</w:t>
      </w:r>
      <w:r>
        <w:rPr>
          <w:rFonts w:hint="eastAsia" w:ascii="宋体" w:hAnsi="宋体" w:eastAsia="宋体" w:cs="宋体"/>
          <w:sz w:val="24"/>
          <w:u w:val="single"/>
        </w:rPr>
        <w:t xml:space="preserve"> 医院公开挂网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钬激光维保</w:t>
      </w:r>
      <w:r>
        <w:rPr>
          <w:rFonts w:hint="eastAsia" w:ascii="宋体" w:hAnsi="宋体" w:eastAsia="宋体" w:cs="宋体"/>
          <w:sz w:val="24"/>
          <w:u w:val="single"/>
        </w:rPr>
        <w:t>服务</w:t>
      </w:r>
      <w:r>
        <w:rPr>
          <w:rFonts w:hint="eastAsia" w:ascii="宋体" w:hAnsi="宋体" w:cs="宋体"/>
          <w:sz w:val="24"/>
          <w:u w:val="single"/>
          <w:lang w:val="en-US" w:eastAsia="zh-CN"/>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rPr>
        <w:t xml:space="preserve"> /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钬激光维保</w:t>
      </w:r>
      <w:r>
        <w:rPr>
          <w:rFonts w:hint="eastAsia" w:ascii="宋体" w:hAnsi="宋体" w:eastAsia="宋体" w:cs="宋体"/>
          <w:sz w:val="24"/>
          <w:u w:val="single"/>
        </w:rPr>
        <w:t>服务</w:t>
      </w:r>
      <w:r>
        <w:rPr>
          <w:rFonts w:hint="eastAsia" w:ascii="宋体" w:hAnsi="宋体" w:cs="宋体"/>
          <w:sz w:val="24"/>
          <w:u w:val="single"/>
          <w:lang w:val="en-US" w:eastAsia="zh-CN"/>
        </w:rPr>
        <w:t xml:space="preserve"> </w:t>
      </w:r>
      <w:r>
        <w:rPr>
          <w:rFonts w:hint="eastAsia" w:ascii="宋体" w:hAnsi="宋体" w:eastAsia="宋体" w:cs="宋体"/>
          <w:sz w:val="24"/>
        </w:rPr>
        <w:t>相关事宜平等、自愿、公平、诚信协商，达成一致，特订立本合同，以资共同遵守。</w:t>
      </w:r>
    </w:p>
    <w:p w14:paraId="30D3433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第一条 服务内容</w:t>
      </w:r>
    </w:p>
    <w:p w14:paraId="06DB23C4">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1.1维保设备信息：</w:t>
      </w:r>
    </w:p>
    <w:tbl>
      <w:tblPr>
        <w:tblStyle w:val="12"/>
        <w:tblW w:w="8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350"/>
        <w:gridCol w:w="1725"/>
        <w:gridCol w:w="1530"/>
        <w:gridCol w:w="2325"/>
      </w:tblGrid>
      <w:tr w14:paraId="591A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524" w:type="dxa"/>
            <w:tcBorders>
              <w:top w:val="single" w:color="auto" w:sz="4" w:space="0"/>
              <w:left w:val="single" w:color="auto" w:sz="4" w:space="0"/>
              <w:bottom w:val="single" w:color="auto" w:sz="4" w:space="0"/>
              <w:right w:val="single" w:color="auto" w:sz="4" w:space="0"/>
            </w:tcBorders>
            <w:vAlign w:val="center"/>
          </w:tcPr>
          <w:p w14:paraId="1A17D975">
            <w:pPr>
              <w:keepNext w:val="0"/>
              <w:keepLines w:val="0"/>
              <w:pageBreakBefore w:val="0"/>
              <w:widowControl w:val="0"/>
              <w:kinsoku/>
              <w:wordWrap/>
              <w:overflowPunct/>
              <w:topLinePunct w:val="0"/>
              <w:autoSpaceDE/>
              <w:autoSpaceDN/>
              <w:bidi w:val="0"/>
              <w:adjustRightInd/>
              <w:snapToGrid/>
              <w:spacing w:after="0" w:line="480" w:lineRule="exact"/>
              <w:ind w:leftChars="0" w:firstLine="0" w:firstLineChars="0"/>
              <w:jc w:val="center"/>
              <w:textAlignment w:val="auto"/>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lang w:eastAsia="zh-CN"/>
              </w:rPr>
              <w:t>设备名称</w:t>
            </w:r>
          </w:p>
        </w:tc>
        <w:tc>
          <w:tcPr>
            <w:tcW w:w="1350" w:type="dxa"/>
            <w:tcBorders>
              <w:top w:val="single" w:color="auto" w:sz="4" w:space="0"/>
              <w:left w:val="single" w:color="auto" w:sz="4" w:space="0"/>
              <w:bottom w:val="single" w:color="auto" w:sz="4" w:space="0"/>
              <w:right w:val="single" w:color="auto" w:sz="4" w:space="0"/>
            </w:tcBorders>
            <w:vAlign w:val="center"/>
          </w:tcPr>
          <w:p w14:paraId="7736B5E2">
            <w:pPr>
              <w:keepNext w:val="0"/>
              <w:keepLines w:val="0"/>
              <w:pageBreakBefore w:val="0"/>
              <w:widowControl w:val="0"/>
              <w:kinsoku/>
              <w:wordWrap/>
              <w:overflowPunct/>
              <w:topLinePunct w:val="0"/>
              <w:autoSpaceDE/>
              <w:autoSpaceDN/>
              <w:bidi w:val="0"/>
              <w:adjustRightInd/>
              <w:snapToGrid/>
              <w:spacing w:after="0" w:line="480" w:lineRule="exact"/>
              <w:ind w:leftChars="0" w:firstLine="0" w:firstLineChars="0"/>
              <w:jc w:val="center"/>
              <w:textAlignment w:val="auto"/>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品牌</w:t>
            </w:r>
          </w:p>
        </w:tc>
        <w:tc>
          <w:tcPr>
            <w:tcW w:w="1725" w:type="dxa"/>
            <w:tcBorders>
              <w:top w:val="single" w:color="auto" w:sz="4" w:space="0"/>
              <w:left w:val="single" w:color="auto" w:sz="4" w:space="0"/>
              <w:bottom w:val="single" w:color="auto" w:sz="4" w:space="0"/>
              <w:right w:val="single" w:color="auto" w:sz="4" w:space="0"/>
            </w:tcBorders>
            <w:vAlign w:val="center"/>
          </w:tcPr>
          <w:p w14:paraId="31762609">
            <w:pPr>
              <w:keepNext w:val="0"/>
              <w:keepLines w:val="0"/>
              <w:pageBreakBefore w:val="0"/>
              <w:widowControl w:val="0"/>
              <w:kinsoku/>
              <w:wordWrap/>
              <w:overflowPunct/>
              <w:topLinePunct w:val="0"/>
              <w:autoSpaceDE/>
              <w:autoSpaceDN/>
              <w:bidi w:val="0"/>
              <w:adjustRightInd/>
              <w:snapToGrid/>
              <w:spacing w:after="0" w:line="480" w:lineRule="exact"/>
              <w:ind w:leftChars="0" w:firstLine="0" w:firstLineChars="0"/>
              <w:jc w:val="center"/>
              <w:textAlignment w:val="auto"/>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lang w:eastAsia="zh-CN"/>
              </w:rPr>
              <w:t>型号</w:t>
            </w:r>
          </w:p>
        </w:tc>
        <w:tc>
          <w:tcPr>
            <w:tcW w:w="1530" w:type="dxa"/>
            <w:tcBorders>
              <w:top w:val="single" w:color="auto" w:sz="4" w:space="0"/>
              <w:left w:val="single" w:color="auto" w:sz="4" w:space="0"/>
              <w:bottom w:val="single" w:color="auto" w:sz="4" w:space="0"/>
              <w:right w:val="single" w:color="auto" w:sz="4" w:space="0"/>
            </w:tcBorders>
            <w:vAlign w:val="center"/>
          </w:tcPr>
          <w:p w14:paraId="59E44D50">
            <w:pPr>
              <w:keepNext w:val="0"/>
              <w:keepLines w:val="0"/>
              <w:pageBreakBefore w:val="0"/>
              <w:widowControl w:val="0"/>
              <w:kinsoku/>
              <w:wordWrap/>
              <w:overflowPunct/>
              <w:topLinePunct w:val="0"/>
              <w:autoSpaceDE/>
              <w:autoSpaceDN/>
              <w:bidi w:val="0"/>
              <w:adjustRightInd/>
              <w:snapToGrid/>
              <w:spacing w:after="0" w:line="480" w:lineRule="exact"/>
              <w:ind w:leftChars="0" w:firstLine="0" w:firstLine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SN码</w:t>
            </w:r>
          </w:p>
        </w:tc>
        <w:tc>
          <w:tcPr>
            <w:tcW w:w="2325" w:type="dxa"/>
            <w:tcBorders>
              <w:top w:val="single" w:color="auto" w:sz="4" w:space="0"/>
              <w:left w:val="single" w:color="auto" w:sz="4" w:space="0"/>
              <w:bottom w:val="single" w:color="auto" w:sz="4" w:space="0"/>
              <w:right w:val="single" w:color="auto" w:sz="4" w:space="0"/>
            </w:tcBorders>
            <w:vAlign w:val="center"/>
          </w:tcPr>
          <w:p w14:paraId="5E993424">
            <w:pPr>
              <w:keepNext w:val="0"/>
              <w:keepLines w:val="0"/>
              <w:pageBreakBefore w:val="0"/>
              <w:widowControl w:val="0"/>
              <w:kinsoku/>
              <w:wordWrap/>
              <w:overflowPunct/>
              <w:topLinePunct w:val="0"/>
              <w:autoSpaceDE/>
              <w:autoSpaceDN/>
              <w:bidi w:val="0"/>
              <w:adjustRightInd/>
              <w:snapToGrid/>
              <w:spacing w:after="0" w:line="480" w:lineRule="exact"/>
              <w:ind w:leftChars="0" w:firstLine="0" w:firstLineChars="0"/>
              <w:jc w:val="center"/>
              <w:textAlignment w:val="auto"/>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科室</w:t>
            </w:r>
          </w:p>
        </w:tc>
      </w:tr>
      <w:tr w14:paraId="0B1D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524" w:type="dxa"/>
            <w:tcBorders>
              <w:top w:val="single" w:color="auto" w:sz="4" w:space="0"/>
              <w:left w:val="single" w:color="auto" w:sz="4" w:space="0"/>
              <w:bottom w:val="single" w:color="auto" w:sz="4" w:space="0"/>
              <w:right w:val="single" w:color="auto" w:sz="4" w:space="0"/>
            </w:tcBorders>
            <w:vAlign w:val="center"/>
          </w:tcPr>
          <w:p w14:paraId="32B611B0">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钬激光</w:t>
            </w:r>
          </w:p>
        </w:tc>
        <w:tc>
          <w:tcPr>
            <w:tcW w:w="1350" w:type="dxa"/>
            <w:tcBorders>
              <w:top w:val="single" w:color="auto" w:sz="4" w:space="0"/>
              <w:left w:val="single" w:color="auto" w:sz="4" w:space="0"/>
              <w:bottom w:val="single" w:color="auto" w:sz="4" w:space="0"/>
              <w:right w:val="single" w:color="auto" w:sz="4" w:space="0"/>
            </w:tcBorders>
            <w:vAlign w:val="center"/>
          </w:tcPr>
          <w:p w14:paraId="720F380B">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爱科凯能</w:t>
            </w:r>
          </w:p>
        </w:tc>
        <w:tc>
          <w:tcPr>
            <w:tcW w:w="1725" w:type="dxa"/>
            <w:tcBorders>
              <w:top w:val="single" w:color="auto" w:sz="4" w:space="0"/>
              <w:left w:val="single" w:color="auto" w:sz="4" w:space="0"/>
              <w:bottom w:val="single" w:color="auto" w:sz="4" w:space="0"/>
              <w:right w:val="single" w:color="auto" w:sz="4" w:space="0"/>
            </w:tcBorders>
            <w:vAlign w:val="center"/>
          </w:tcPr>
          <w:p w14:paraId="7BACDB98">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ACCU-H2H</w:t>
            </w:r>
          </w:p>
        </w:tc>
        <w:tc>
          <w:tcPr>
            <w:tcW w:w="1530" w:type="dxa"/>
            <w:tcBorders>
              <w:top w:val="single" w:color="auto" w:sz="4" w:space="0"/>
              <w:left w:val="single" w:color="auto" w:sz="4" w:space="0"/>
              <w:bottom w:val="single" w:color="auto" w:sz="4" w:space="0"/>
              <w:right w:val="single" w:color="auto" w:sz="4" w:space="0"/>
            </w:tcBorders>
            <w:vAlign w:val="center"/>
          </w:tcPr>
          <w:p w14:paraId="6CA97AE2">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H060670</w:t>
            </w:r>
          </w:p>
        </w:tc>
        <w:tc>
          <w:tcPr>
            <w:tcW w:w="2325" w:type="dxa"/>
            <w:tcBorders>
              <w:top w:val="single" w:color="auto" w:sz="4" w:space="0"/>
              <w:left w:val="single" w:color="auto" w:sz="4" w:space="0"/>
              <w:bottom w:val="single" w:color="auto" w:sz="4" w:space="0"/>
              <w:right w:val="single" w:color="auto" w:sz="4" w:space="0"/>
            </w:tcBorders>
            <w:vAlign w:val="center"/>
          </w:tcPr>
          <w:p w14:paraId="1BB64730">
            <w:pPr>
              <w:spacing w:line="360" w:lineRule="auto"/>
              <w:jc w:val="center"/>
              <w:rPr>
                <w:rFonts w:hint="eastAsia" w:ascii="宋体" w:hAnsi="宋体" w:eastAsia="宋体" w:cs="宋体"/>
                <w:sz w:val="24"/>
                <w:lang w:eastAsia="zh-CN"/>
              </w:rPr>
            </w:pPr>
            <w:r>
              <w:rPr>
                <w:rFonts w:hint="eastAsia" w:ascii="宋体" w:hAnsi="宋体" w:eastAsia="宋体" w:cs="宋体"/>
                <w:sz w:val="24"/>
                <w:lang w:val="en-US" w:eastAsia="zh-CN"/>
              </w:rPr>
              <w:t>手术室/泌尿外科</w:t>
            </w:r>
          </w:p>
        </w:tc>
      </w:tr>
      <w:tr w14:paraId="285B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524" w:type="dxa"/>
            <w:tcBorders>
              <w:top w:val="single" w:color="auto" w:sz="4" w:space="0"/>
              <w:left w:val="single" w:color="auto" w:sz="4" w:space="0"/>
              <w:bottom w:val="single" w:color="auto" w:sz="4" w:space="0"/>
              <w:right w:val="single" w:color="auto" w:sz="4" w:space="0"/>
            </w:tcBorders>
            <w:vAlign w:val="center"/>
          </w:tcPr>
          <w:p w14:paraId="1796D234">
            <w:pPr>
              <w:spacing w:line="360" w:lineRule="auto"/>
              <w:jc w:val="center"/>
              <w:rPr>
                <w:rFonts w:hint="eastAsia" w:ascii="宋体" w:hAnsi="宋体" w:eastAsia="宋体" w:cs="宋体"/>
                <w:sz w:val="24"/>
                <w:lang w:eastAsia="zh-CN"/>
              </w:rPr>
            </w:pPr>
            <w:r>
              <w:rPr>
                <w:rFonts w:hint="eastAsia" w:ascii="宋体" w:hAnsi="宋体" w:eastAsia="宋体" w:cs="宋体"/>
                <w:sz w:val="24"/>
                <w:lang w:val="en-US" w:eastAsia="zh-CN"/>
              </w:rPr>
              <w:t>钬激光</w:t>
            </w:r>
          </w:p>
        </w:tc>
        <w:tc>
          <w:tcPr>
            <w:tcW w:w="1350" w:type="dxa"/>
            <w:tcBorders>
              <w:top w:val="single" w:color="auto" w:sz="4" w:space="0"/>
              <w:left w:val="single" w:color="auto" w:sz="4" w:space="0"/>
              <w:bottom w:val="single" w:color="auto" w:sz="4" w:space="0"/>
              <w:right w:val="single" w:color="auto" w:sz="4" w:space="0"/>
            </w:tcBorders>
            <w:vAlign w:val="center"/>
          </w:tcPr>
          <w:p w14:paraId="0CA5F989">
            <w:pPr>
              <w:spacing w:line="360" w:lineRule="auto"/>
              <w:jc w:val="center"/>
              <w:rPr>
                <w:rFonts w:hint="eastAsia" w:ascii="宋体" w:hAnsi="宋体" w:eastAsia="宋体" w:cs="宋体"/>
                <w:sz w:val="24"/>
                <w:lang w:eastAsia="zh-CN"/>
              </w:rPr>
            </w:pPr>
            <w:r>
              <w:rPr>
                <w:rFonts w:hint="eastAsia" w:ascii="宋体" w:hAnsi="宋体" w:eastAsia="宋体" w:cs="宋体"/>
                <w:sz w:val="24"/>
                <w:lang w:val="en-US" w:eastAsia="zh-CN"/>
              </w:rPr>
              <w:t>TRIMEDYE</w:t>
            </w:r>
          </w:p>
        </w:tc>
        <w:tc>
          <w:tcPr>
            <w:tcW w:w="1725" w:type="dxa"/>
            <w:tcBorders>
              <w:top w:val="single" w:color="auto" w:sz="4" w:space="0"/>
              <w:left w:val="single" w:color="auto" w:sz="4" w:space="0"/>
              <w:bottom w:val="single" w:color="auto" w:sz="4" w:space="0"/>
              <w:right w:val="single" w:color="auto" w:sz="4" w:space="0"/>
            </w:tcBorders>
            <w:vAlign w:val="center"/>
          </w:tcPr>
          <w:p w14:paraId="4490F9AC">
            <w:pPr>
              <w:spacing w:line="360" w:lineRule="auto"/>
              <w:jc w:val="center"/>
              <w:rPr>
                <w:rFonts w:hint="eastAsia" w:ascii="宋体" w:hAnsi="宋体" w:eastAsia="宋体" w:cs="宋体"/>
                <w:sz w:val="24"/>
                <w:lang w:eastAsia="zh-CN"/>
              </w:rPr>
            </w:pPr>
            <w:r>
              <w:rPr>
                <w:rFonts w:hint="eastAsia" w:ascii="宋体" w:hAnsi="宋体" w:eastAsia="宋体" w:cs="宋体"/>
                <w:sz w:val="24"/>
                <w:lang w:val="en-US" w:eastAsia="zh-CN"/>
              </w:rPr>
              <w:t>1210-VHP</w:t>
            </w:r>
          </w:p>
        </w:tc>
        <w:tc>
          <w:tcPr>
            <w:tcW w:w="1530" w:type="dxa"/>
            <w:tcBorders>
              <w:top w:val="single" w:color="auto" w:sz="4" w:space="0"/>
              <w:left w:val="single" w:color="auto" w:sz="4" w:space="0"/>
              <w:bottom w:val="single" w:color="auto" w:sz="4" w:space="0"/>
              <w:right w:val="single" w:color="auto" w:sz="4" w:space="0"/>
            </w:tcBorders>
            <w:vAlign w:val="center"/>
          </w:tcPr>
          <w:p w14:paraId="69253F3C">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T954</w:t>
            </w:r>
          </w:p>
        </w:tc>
        <w:tc>
          <w:tcPr>
            <w:tcW w:w="2325" w:type="dxa"/>
            <w:tcBorders>
              <w:top w:val="single" w:color="auto" w:sz="4" w:space="0"/>
              <w:left w:val="single" w:color="auto" w:sz="4" w:space="0"/>
              <w:bottom w:val="single" w:color="auto" w:sz="4" w:space="0"/>
              <w:right w:val="single" w:color="auto" w:sz="4" w:space="0"/>
            </w:tcBorders>
            <w:vAlign w:val="center"/>
          </w:tcPr>
          <w:p w14:paraId="32C2F815">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eastAsia="zh-CN"/>
              </w:rPr>
              <w:t>手术室</w:t>
            </w:r>
            <w:r>
              <w:rPr>
                <w:rFonts w:hint="eastAsia" w:ascii="宋体" w:hAnsi="宋体" w:eastAsia="宋体" w:cs="宋体"/>
                <w:sz w:val="24"/>
                <w:lang w:val="en-US" w:eastAsia="zh-CN"/>
              </w:rPr>
              <w:t>/泌尿外科</w:t>
            </w:r>
          </w:p>
        </w:tc>
      </w:tr>
    </w:tbl>
    <w:p w14:paraId="75DE8890">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1.2在本合同生效后30日内向甲方免费提供TRIMEDYE钬激光设备配套B200进口光纤贰根（200微米光纤）。</w:t>
      </w:r>
    </w:p>
    <w:p w14:paraId="39FFA02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1.3维保服务类型：</w:t>
      </w:r>
      <w:r>
        <w:rPr>
          <w:rFonts w:hint="eastAsia" w:ascii="宋体" w:hAnsi="宋体" w:eastAsia="宋体" w:cs="宋体"/>
          <w:color w:val="0000FF"/>
          <w:sz w:val="24"/>
          <w:lang w:val="en-US" w:eastAsia="zh-CN"/>
        </w:rPr>
        <w:t>泌尿外科两台钬激光</w:t>
      </w:r>
      <w:r>
        <w:rPr>
          <w:rFonts w:hint="eastAsia" w:ascii="宋体" w:hAnsi="宋体" w:eastAsia="宋体" w:cs="宋体"/>
          <w:sz w:val="24"/>
          <w:lang w:val="en-US" w:eastAsia="zh-CN"/>
        </w:rPr>
        <w:t>整机全保服务。</w:t>
      </w:r>
    </w:p>
    <w:p w14:paraId="30F9E746">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1.4维保服务范围：</w:t>
      </w:r>
    </w:p>
    <w:p w14:paraId="5465066C">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1.4.1保养维护：</w:t>
      </w:r>
    </w:p>
    <w:p w14:paraId="3CE3979B">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1.4.1.1 外观检查</w:t>
      </w:r>
      <w:r>
        <w:rPr>
          <w:rFonts w:hint="eastAsia" w:ascii="宋体" w:hAnsi="宋体" w:cs="宋体"/>
          <w:sz w:val="24"/>
          <w:lang w:val="en-US" w:eastAsia="zh-CN"/>
        </w:rPr>
        <w:t>：</w:t>
      </w:r>
      <w:r>
        <w:rPr>
          <w:rFonts w:hint="eastAsia" w:ascii="宋体" w:hAnsi="宋体" w:eastAsia="宋体" w:cs="宋体"/>
          <w:sz w:val="24"/>
          <w:lang w:val="en-US" w:eastAsia="zh-CN"/>
        </w:rPr>
        <w:t>线缆（电源线及机器内部线缆）检查、机器外壳、光路保护罩壳检查、机器线路板、接头检查。</w:t>
      </w:r>
    </w:p>
    <w:p w14:paraId="3BD18B0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1.4.1.2环境检查</w:t>
      </w:r>
      <w:r>
        <w:rPr>
          <w:rFonts w:hint="eastAsia" w:ascii="宋体" w:hAnsi="宋体" w:cs="宋体"/>
          <w:sz w:val="24"/>
          <w:lang w:val="en-US" w:eastAsia="zh-CN"/>
        </w:rPr>
        <w:t>：</w:t>
      </w:r>
      <w:r>
        <w:rPr>
          <w:rFonts w:hint="eastAsia" w:ascii="宋体" w:hAnsi="宋体" w:eastAsia="宋体" w:cs="宋体"/>
          <w:sz w:val="24"/>
          <w:lang w:val="en-US" w:eastAsia="zh-CN"/>
        </w:rPr>
        <w:t>电压230V50HZ、温度 18-25℃、湿度RH 20%～50% 。</w:t>
      </w:r>
    </w:p>
    <w:p w14:paraId="0207DCA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1.3.1.3功能检查</w:t>
      </w:r>
      <w:r>
        <w:rPr>
          <w:rFonts w:hint="eastAsia" w:ascii="宋体" w:hAnsi="宋体" w:cs="宋体"/>
          <w:sz w:val="24"/>
          <w:lang w:val="en-US" w:eastAsia="zh-CN"/>
        </w:rPr>
        <w:t>：</w:t>
      </w:r>
      <w:r>
        <w:rPr>
          <w:rFonts w:hint="eastAsia" w:ascii="宋体" w:hAnsi="宋体" w:eastAsia="宋体" w:cs="宋体"/>
          <w:sz w:val="24"/>
          <w:lang w:val="en-US" w:eastAsia="zh-CN"/>
        </w:rPr>
        <w:t>激光能量正常、机器所有指示灯正常、散热风扇正常、急停开关正常、指示光强度正常。</w:t>
      </w:r>
    </w:p>
    <w:p w14:paraId="0699F34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1.4.1.4激光检查</w:t>
      </w:r>
      <w:r>
        <w:rPr>
          <w:rFonts w:hint="eastAsia" w:ascii="宋体" w:hAnsi="宋体" w:cs="宋体"/>
          <w:sz w:val="24"/>
          <w:lang w:val="en-US" w:eastAsia="zh-CN"/>
        </w:rPr>
        <w:t>：</w:t>
      </w:r>
      <w:r>
        <w:rPr>
          <w:rFonts w:hint="eastAsia" w:ascii="宋体" w:hAnsi="宋体" w:eastAsia="宋体" w:cs="宋体"/>
          <w:sz w:val="24"/>
          <w:lang w:val="en-US" w:eastAsia="zh-CN"/>
        </w:rPr>
        <w:t>激光头输出能量正常、光传输率正常、光路调制正常、光传输效率稳定。</w:t>
      </w:r>
    </w:p>
    <w:p w14:paraId="28CFAF0B">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1.4.1.5屏幕检查：显示正常、按键正常。</w:t>
      </w:r>
    </w:p>
    <w:p w14:paraId="6EF6AE7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1.4.2 维修服务：修复维保设备发生的全部故障及所有配件、易耗品、耗材更换、安装、调试均属乙方保修服务范围（钬激光光纤除外）。</w:t>
      </w:r>
    </w:p>
    <w:p w14:paraId="2750A66B">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1.5服务要求：</w:t>
      </w:r>
    </w:p>
    <w:p w14:paraId="6490B8B7">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1.5.1整体要求：</w:t>
      </w:r>
    </w:p>
    <w:p w14:paraId="00823A36">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u w:val="none"/>
          <w:lang w:val="en-US" w:eastAsia="zh-CN"/>
        </w:rPr>
      </w:pPr>
      <w:r>
        <w:rPr>
          <w:rFonts w:hint="eastAsia" w:ascii="宋体" w:hAnsi="宋体" w:eastAsia="宋体" w:cs="宋体"/>
          <w:sz w:val="24"/>
          <w:u w:val="none"/>
          <w:lang w:val="en-US" w:eastAsia="zh-CN"/>
        </w:rPr>
        <w:t>1.5.1.1</w:t>
      </w:r>
      <w:r>
        <w:rPr>
          <w:rFonts w:hint="eastAsia" w:ascii="宋体" w:hAnsi="宋体" w:eastAsia="宋体" w:cs="宋体"/>
          <w:sz w:val="24"/>
          <w:lang w:val="en-US" w:eastAsia="zh-CN"/>
        </w:rPr>
        <w:t>开机率的界定以每台设备在服务期内开机累计天数除以服务期天数</w:t>
      </w:r>
      <w:r>
        <w:rPr>
          <w:rFonts w:hint="eastAsia" w:ascii="宋体" w:hAnsi="宋体" w:cs="宋体"/>
          <w:color w:val="0000FF"/>
          <w:sz w:val="24"/>
          <w:lang w:val="en-US" w:eastAsia="zh-CN"/>
        </w:rPr>
        <w:t>计算</w:t>
      </w:r>
      <w:r>
        <w:rPr>
          <w:rFonts w:hint="eastAsia" w:ascii="宋体" w:hAnsi="宋体" w:eastAsia="宋体" w:cs="宋体"/>
          <w:sz w:val="24"/>
          <w:lang w:val="en-US" w:eastAsia="zh-CN"/>
        </w:rPr>
        <w:t>。</w:t>
      </w:r>
      <w:r>
        <w:rPr>
          <w:rFonts w:hint="eastAsia" w:ascii="宋体" w:hAnsi="宋体" w:cs="宋体"/>
          <w:color w:val="0000FF"/>
          <w:sz w:val="24"/>
          <w:lang w:val="en-US" w:eastAsia="zh-CN"/>
        </w:rPr>
        <w:t>乙方应</w:t>
      </w:r>
      <w:r>
        <w:rPr>
          <w:rFonts w:hint="eastAsia" w:ascii="宋体" w:hAnsi="宋体" w:eastAsia="宋体" w:cs="宋体"/>
          <w:sz w:val="24"/>
          <w:u w:val="none"/>
          <w:lang w:val="en-US" w:eastAsia="zh-CN"/>
        </w:rPr>
        <w:t>确保服务期内每台设备开机率均达95%及以上，按照365天/年、24小时/天计算，即正常开机应达到347天/年及以上，正常开机时间每少1天则本合同服务期限自动延长3天。</w:t>
      </w:r>
    </w:p>
    <w:p w14:paraId="5E0D8E60">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1.5.1.2如乙方在甲方报修后</w:t>
      </w:r>
      <w:r>
        <w:rPr>
          <w:rFonts w:hint="eastAsia" w:ascii="宋体" w:hAnsi="宋体" w:eastAsia="宋体" w:cs="宋体"/>
          <w:sz w:val="24"/>
          <w:u w:val="none"/>
          <w:lang w:val="en-US" w:eastAsia="zh-CN"/>
        </w:rPr>
        <w:t>3</w:t>
      </w:r>
      <w:r>
        <w:rPr>
          <w:rFonts w:hint="eastAsia" w:ascii="宋体" w:hAnsi="宋体" w:eastAsia="宋体" w:cs="宋体"/>
          <w:sz w:val="24"/>
          <w:lang w:val="en-US" w:eastAsia="zh-CN"/>
        </w:rPr>
        <w:t>日内提供了备品，提供备品且成功运行当日不计入停机天数。如因乙方原因导致甲方设备带病运行，停机天数按甲方带病运行天数计算。</w:t>
      </w:r>
    </w:p>
    <w:p w14:paraId="05A70DE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1.5.2保养维护要求：</w:t>
      </w:r>
    </w:p>
    <w:p w14:paraId="789E0EC6">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1.5.2.1保养维护每年不少于</w:t>
      </w:r>
      <w:r>
        <w:rPr>
          <w:rFonts w:hint="eastAsia" w:ascii="宋体" w:hAnsi="宋体" w:eastAsia="宋体" w:cs="宋体"/>
          <w:sz w:val="24"/>
          <w:u w:val="none"/>
          <w:lang w:val="en-US" w:eastAsia="zh-CN"/>
        </w:rPr>
        <w:t>5</w:t>
      </w:r>
      <w:r>
        <w:rPr>
          <w:rFonts w:hint="eastAsia" w:ascii="宋体" w:hAnsi="宋体" w:eastAsia="宋体" w:cs="宋体"/>
          <w:sz w:val="24"/>
          <w:lang w:val="en-US" w:eastAsia="zh-CN"/>
        </w:rPr>
        <w:t>次，每季度不少于</w:t>
      </w:r>
      <w:r>
        <w:rPr>
          <w:rFonts w:hint="eastAsia" w:ascii="宋体" w:hAnsi="宋体" w:eastAsia="宋体" w:cs="宋体"/>
          <w:sz w:val="24"/>
          <w:u w:val="none"/>
          <w:lang w:val="en-US" w:eastAsia="zh-CN"/>
        </w:rPr>
        <w:t>1</w:t>
      </w:r>
      <w:r>
        <w:rPr>
          <w:rFonts w:hint="eastAsia" w:ascii="宋体" w:hAnsi="宋体" w:eastAsia="宋体" w:cs="宋体"/>
          <w:sz w:val="24"/>
          <w:lang w:val="en-US" w:eastAsia="zh-CN"/>
        </w:rPr>
        <w:t>次；每两次保养至少更换1次氙灯等其他易耗品；每次保养必须更换干燥剂等常规易耗品；每年更换</w:t>
      </w:r>
      <w:r>
        <w:rPr>
          <w:rFonts w:hint="eastAsia" w:ascii="宋体" w:hAnsi="宋体" w:eastAsia="宋体" w:cs="宋体"/>
          <w:sz w:val="24"/>
          <w:u w:val="single"/>
          <w:lang w:val="en-US" w:eastAsia="zh-CN"/>
        </w:rPr>
        <w:t>2</w:t>
      </w:r>
      <w:r>
        <w:rPr>
          <w:rFonts w:hint="eastAsia" w:ascii="宋体" w:hAnsi="宋体" w:eastAsia="宋体" w:cs="宋体"/>
          <w:sz w:val="24"/>
          <w:lang w:val="en-US" w:eastAsia="zh-CN"/>
        </w:rPr>
        <w:t>次水流净化系统处理；爱科凯能钬激光</w:t>
      </w:r>
      <w:r>
        <w:rPr>
          <w:rFonts w:hint="eastAsia" w:ascii="宋体" w:hAnsi="宋体" w:cs="宋体"/>
          <w:color w:val="0000FF"/>
          <w:sz w:val="24"/>
          <w:lang w:val="en-US" w:eastAsia="zh-CN"/>
        </w:rPr>
        <w:t>每年</w:t>
      </w:r>
      <w:r>
        <w:rPr>
          <w:rFonts w:hint="eastAsia" w:ascii="宋体" w:hAnsi="宋体" w:eastAsia="宋体" w:cs="宋体"/>
          <w:sz w:val="24"/>
          <w:lang w:val="en-US" w:eastAsia="zh-CN"/>
        </w:rPr>
        <w:t>更换</w:t>
      </w:r>
      <w:r>
        <w:rPr>
          <w:rFonts w:hint="eastAsia" w:ascii="宋体" w:hAnsi="宋体" w:eastAsia="宋体" w:cs="宋体"/>
          <w:sz w:val="24"/>
          <w:u w:val="single"/>
          <w:lang w:val="en-US" w:eastAsia="zh-CN"/>
        </w:rPr>
        <w:t>1</w:t>
      </w:r>
      <w:r>
        <w:rPr>
          <w:rFonts w:hint="eastAsia" w:ascii="宋体" w:hAnsi="宋体" w:eastAsia="宋体" w:cs="宋体"/>
          <w:sz w:val="24"/>
          <w:lang w:val="en-US" w:eastAsia="zh-CN"/>
        </w:rPr>
        <w:t>次激光发射器。</w:t>
      </w:r>
    </w:p>
    <w:p w14:paraId="07BB848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1.5.2.2每次保养维护作业后，乙方须填写维护记录单并上传图片至甲方，如实反映设备运行状况，并由甲方医疗设备维修中心和设备所在科室共同签字确认验收并在甲方存档，同时乙方需在甲方电子维护记录单上登记备案。</w:t>
      </w:r>
    </w:p>
    <w:p w14:paraId="08C21CC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1.5.2.3维护作业中若发现有故障隐患，应及时通知甲方并维修排除隐患。</w:t>
      </w:r>
    </w:p>
    <w:p w14:paraId="2B958C3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1.5.3维修服务要求：</w:t>
      </w:r>
    </w:p>
    <w:p w14:paraId="049D752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1.5.3.1不限次数现场技术服务和远程诊断服务：</w:t>
      </w:r>
      <w:r>
        <w:rPr>
          <w:rFonts w:hint="eastAsia" w:ascii="宋体" w:hAnsi="宋体" w:eastAsia="宋体" w:cs="宋体"/>
          <w:sz w:val="24"/>
          <w:u w:val="none"/>
          <w:lang w:val="en-US" w:eastAsia="zh-CN"/>
        </w:rPr>
        <w:t>提供365天×24小时</w:t>
      </w:r>
      <w:r>
        <w:rPr>
          <w:rFonts w:hint="eastAsia" w:ascii="宋体" w:hAnsi="宋体" w:eastAsia="宋体" w:cs="宋体"/>
          <w:sz w:val="24"/>
          <w:lang w:val="en-US" w:eastAsia="zh-CN"/>
        </w:rPr>
        <w:t>免费服务（不受节假日影响），指定维修服务联系电话</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。乙方应在接到甲方维修通知时起</w:t>
      </w:r>
      <w:r>
        <w:rPr>
          <w:rFonts w:hint="eastAsia" w:ascii="宋体" w:hAnsi="宋体" w:eastAsia="宋体" w:cs="宋体"/>
          <w:sz w:val="24"/>
          <w:u w:val="none"/>
          <w:lang w:val="en-US" w:eastAsia="zh-CN"/>
        </w:rPr>
        <w:t>24小</w:t>
      </w:r>
      <w:r>
        <w:rPr>
          <w:rFonts w:hint="eastAsia" w:ascii="宋体" w:hAnsi="宋体" w:eastAsia="宋体" w:cs="宋体"/>
          <w:sz w:val="24"/>
          <w:lang w:val="en-US" w:eastAsia="zh-CN"/>
        </w:rPr>
        <w:t>时内赶到现场，</w:t>
      </w:r>
      <w:r>
        <w:rPr>
          <w:rFonts w:hint="eastAsia" w:ascii="宋体" w:hAnsi="宋体" w:cs="宋体"/>
          <w:sz w:val="24"/>
          <w:lang w:val="en-US" w:eastAsia="zh-CN"/>
        </w:rPr>
        <w:t>若</w:t>
      </w:r>
      <w:r>
        <w:rPr>
          <w:rFonts w:hint="eastAsia" w:ascii="宋体" w:hAnsi="宋体" w:eastAsia="宋体" w:cs="宋体"/>
          <w:sz w:val="24"/>
          <w:lang w:val="en-US" w:eastAsia="zh-CN"/>
        </w:rPr>
        <w:t>属小修应在接到维修通知</w:t>
      </w:r>
      <w:r>
        <w:rPr>
          <w:rFonts w:hint="eastAsia" w:ascii="宋体" w:hAnsi="宋体" w:eastAsia="宋体" w:cs="宋体"/>
          <w:sz w:val="24"/>
          <w:u w:val="none"/>
          <w:lang w:val="en-US" w:eastAsia="zh-CN"/>
        </w:rPr>
        <w:t>时起36小时内完成维修（含在途时间），</w:t>
      </w:r>
      <w:r>
        <w:rPr>
          <w:rFonts w:hint="eastAsia" w:ascii="宋体" w:hAnsi="宋体" w:cs="宋体"/>
          <w:sz w:val="24"/>
          <w:u w:val="none"/>
          <w:lang w:val="en-US" w:eastAsia="zh-CN"/>
        </w:rPr>
        <w:t>若</w:t>
      </w:r>
      <w:r>
        <w:rPr>
          <w:rFonts w:hint="eastAsia" w:ascii="宋体" w:hAnsi="宋体" w:eastAsia="宋体" w:cs="宋体"/>
          <w:sz w:val="24"/>
          <w:u w:val="none"/>
          <w:lang w:val="en-US" w:eastAsia="zh-CN"/>
        </w:rPr>
        <w:t>需要大修，则应在接到甲方维修通知时起78小时内为甲方提供同品质备用机，并在接到维修通知时起5天内完成维修（含在途时间）；</w:t>
      </w:r>
      <w:r>
        <w:rPr>
          <w:rFonts w:hint="eastAsia" w:ascii="宋体" w:hAnsi="宋体" w:cs="宋体"/>
          <w:sz w:val="24"/>
          <w:u w:val="none"/>
          <w:lang w:val="en-US" w:eastAsia="zh-CN"/>
        </w:rPr>
        <w:t>若属</w:t>
      </w:r>
      <w:r>
        <w:rPr>
          <w:rFonts w:hint="eastAsia" w:ascii="宋体" w:hAnsi="宋体" w:eastAsia="宋体" w:cs="宋体"/>
          <w:sz w:val="24"/>
        </w:rPr>
        <w:t>紧急</w:t>
      </w:r>
      <w:r>
        <w:rPr>
          <w:rFonts w:hint="eastAsia" w:ascii="宋体" w:hAnsi="宋体" w:cs="宋体"/>
          <w:sz w:val="24"/>
          <w:lang w:val="en-US" w:eastAsia="zh-CN"/>
        </w:rPr>
        <w:t>故障维修，乙方应在接到甲方维修通知2</w:t>
      </w:r>
      <w:r>
        <w:rPr>
          <w:rFonts w:hint="eastAsia" w:ascii="宋体" w:hAnsi="宋体" w:eastAsia="宋体" w:cs="宋体"/>
          <w:sz w:val="24"/>
        </w:rPr>
        <w:t>小时内</w:t>
      </w:r>
      <w:r>
        <w:rPr>
          <w:rFonts w:hint="eastAsia" w:ascii="宋体" w:hAnsi="宋体" w:cs="宋体"/>
          <w:sz w:val="24"/>
          <w:lang w:val="en-US" w:eastAsia="zh-CN"/>
        </w:rPr>
        <w:t>响应</w:t>
      </w:r>
      <w:r>
        <w:rPr>
          <w:rFonts w:hint="eastAsia" w:ascii="微软雅黑" w:hAnsi="微软雅黑" w:eastAsia="微软雅黑"/>
          <w:sz w:val="24"/>
        </w:rPr>
        <w:t>，</w:t>
      </w:r>
      <w:r>
        <w:rPr>
          <w:rFonts w:hint="eastAsia" w:ascii="宋体" w:hAnsi="宋体" w:cs="宋体"/>
          <w:sz w:val="24"/>
          <w:u w:val="none"/>
          <w:lang w:val="en-US" w:eastAsia="zh-CN"/>
        </w:rPr>
        <w:t>并</w:t>
      </w:r>
      <w:r>
        <w:rPr>
          <w:rFonts w:hint="eastAsia" w:ascii="宋体" w:hAnsi="宋体" w:eastAsia="宋体" w:cs="宋体"/>
          <w:sz w:val="24"/>
          <w:u w:val="none"/>
          <w:lang w:val="en-US" w:eastAsia="zh-CN"/>
        </w:rPr>
        <w:t>在接到甲方维修通知时起</w:t>
      </w:r>
      <w:r>
        <w:rPr>
          <w:rFonts w:hint="eastAsia" w:ascii="宋体" w:hAnsi="宋体" w:cs="宋体"/>
          <w:sz w:val="24"/>
          <w:u w:val="none"/>
          <w:lang w:val="en-US" w:eastAsia="zh-CN"/>
        </w:rPr>
        <w:t>12</w:t>
      </w:r>
      <w:r>
        <w:rPr>
          <w:rFonts w:hint="eastAsia" w:ascii="宋体" w:hAnsi="宋体" w:eastAsia="宋体" w:cs="宋体"/>
          <w:sz w:val="24"/>
          <w:u w:val="none"/>
          <w:lang w:val="en-US" w:eastAsia="zh-CN"/>
        </w:rPr>
        <w:t>小时内赶到现场维修好。</w:t>
      </w:r>
      <w:r>
        <w:rPr>
          <w:rFonts w:hint="eastAsia" w:ascii="宋体" w:hAnsi="宋体" w:cs="宋体"/>
          <w:sz w:val="24"/>
          <w:u w:val="none"/>
          <w:lang w:val="en-US" w:eastAsia="zh-CN"/>
        </w:rPr>
        <w:t>如</w:t>
      </w:r>
      <w:r>
        <w:rPr>
          <w:rFonts w:hint="eastAsia" w:ascii="宋体" w:hAnsi="宋体" w:eastAsia="宋体" w:cs="宋体"/>
          <w:sz w:val="24"/>
        </w:rPr>
        <w:t>爱科凯能钬激光</w:t>
      </w:r>
      <w:r>
        <w:rPr>
          <w:rFonts w:hint="eastAsia" w:ascii="宋体" w:hAnsi="宋体" w:eastAsia="宋体" w:cs="宋体"/>
          <w:sz w:val="24"/>
          <w:lang w:val="en-US" w:eastAsia="zh-CN"/>
        </w:rPr>
        <w:t>器维修</w:t>
      </w:r>
      <w:r>
        <w:rPr>
          <w:rFonts w:hint="eastAsia" w:ascii="宋体" w:hAnsi="宋体" w:cs="宋体"/>
          <w:sz w:val="24"/>
          <w:lang w:val="en-US" w:eastAsia="zh-CN"/>
        </w:rPr>
        <w:t>，</w:t>
      </w:r>
      <w:r>
        <w:rPr>
          <w:rFonts w:hint="eastAsia" w:ascii="宋体" w:hAnsi="宋体" w:eastAsia="宋体" w:cs="宋体"/>
          <w:color w:val="0000FF"/>
          <w:sz w:val="24"/>
          <w:lang w:val="en-US" w:eastAsia="zh-CN"/>
        </w:rPr>
        <w:t>需</w:t>
      </w:r>
      <w:r>
        <w:rPr>
          <w:rFonts w:hint="eastAsia" w:ascii="宋体" w:hAnsi="宋体" w:cs="宋体"/>
          <w:color w:val="0000FF"/>
          <w:sz w:val="24"/>
          <w:lang w:val="en-US" w:eastAsia="zh-CN"/>
        </w:rPr>
        <w:t>为甲方无偿</w:t>
      </w:r>
      <w:r>
        <w:rPr>
          <w:rFonts w:hint="eastAsia" w:ascii="宋体" w:hAnsi="宋体" w:eastAsia="宋体" w:cs="宋体"/>
          <w:sz w:val="24"/>
        </w:rPr>
        <w:t>提供备用激光器平台</w:t>
      </w:r>
      <w:r>
        <w:rPr>
          <w:rFonts w:hint="eastAsia" w:ascii="宋体" w:hAnsi="宋体" w:eastAsia="宋体" w:cs="宋体"/>
          <w:sz w:val="24"/>
          <w:lang w:eastAsia="zh-CN"/>
        </w:rPr>
        <w:t>。</w:t>
      </w:r>
      <w:r>
        <w:rPr>
          <w:rFonts w:hint="eastAsia" w:ascii="宋体" w:hAnsi="宋体" w:eastAsia="宋体" w:cs="宋体"/>
          <w:sz w:val="24"/>
          <w:u w:val="none"/>
          <w:lang w:val="en-US" w:eastAsia="zh-CN"/>
        </w:rPr>
        <w:t>如乙方未在前述时间内完成维修服务，甲方有权委托第三方完成，第</w:t>
      </w:r>
      <w:r>
        <w:rPr>
          <w:rFonts w:hint="eastAsia" w:ascii="宋体" w:hAnsi="宋体" w:eastAsia="宋体" w:cs="宋体"/>
          <w:sz w:val="24"/>
          <w:lang w:val="en-US" w:eastAsia="zh-CN"/>
        </w:rPr>
        <w:t>三</w:t>
      </w:r>
      <w:r>
        <w:rPr>
          <w:rFonts w:hint="eastAsia" w:ascii="宋体" w:hAnsi="宋体" w:cs="宋体"/>
          <w:sz w:val="24"/>
          <w:lang w:val="en-US" w:eastAsia="zh-CN"/>
        </w:rPr>
        <w:t>方</w:t>
      </w:r>
      <w:r>
        <w:rPr>
          <w:rFonts w:hint="eastAsia" w:ascii="宋体" w:hAnsi="宋体" w:eastAsia="宋体" w:cs="宋体"/>
          <w:sz w:val="24"/>
          <w:lang w:val="en-US" w:eastAsia="zh-CN"/>
        </w:rPr>
        <w:t>维修产生的费用由乙方承担，且甲方有权从应付款项中扣除。</w:t>
      </w:r>
    </w:p>
    <w:p w14:paraId="48036627">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sz w:val="24"/>
          <w:szCs w:val="24"/>
          <w:lang w:val="en-US" w:eastAsia="zh-CN"/>
        </w:rPr>
        <w:t>1.5.3.2乙方根据设备故障情况判断是否修理或更换配件，告知甲方且经甲方书面确认后方可开始修理或更换工作，工作完成后，乙方须填写维修记录单并上传所换配件、耗材图片至甲方，并由甲方医疗设备维修中心和设备所在科室共同签字确认验收并在甲方存档，同时乙方须在甲方电子维修记录单上登记备案。</w:t>
      </w:r>
    </w:p>
    <w:p w14:paraId="51E89C8F">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第二条 服务地点及期限</w:t>
      </w:r>
    </w:p>
    <w:p w14:paraId="27E3DDF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2.1服务地点：甲方设备所在地。</w:t>
      </w:r>
    </w:p>
    <w:p w14:paraId="7A68F53C">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2.2服务期限为</w:t>
      </w:r>
      <w:r>
        <w:rPr>
          <w:rFonts w:hint="eastAsia" w:ascii="宋体" w:hAnsi="宋体" w:cs="宋体"/>
          <w:color w:val="FF0000"/>
          <w:sz w:val="24"/>
          <w:lang w:val="en-US" w:eastAsia="zh-CN"/>
        </w:rPr>
        <w:t>贰</w:t>
      </w:r>
      <w:r>
        <w:rPr>
          <w:rFonts w:hint="eastAsia" w:ascii="宋体" w:hAnsi="宋体" w:eastAsia="宋体" w:cs="宋体"/>
          <w:sz w:val="24"/>
          <w:lang w:val="en-US" w:eastAsia="zh-CN"/>
        </w:rPr>
        <w:t>年，自</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日起至</w:t>
      </w:r>
      <w:r>
        <w:rPr>
          <w:rFonts w:hint="eastAsia" w:ascii="宋体" w:hAnsi="宋体" w:eastAsia="宋体" w:cs="宋体"/>
          <w:sz w:val="24"/>
          <w:u w:val="single"/>
          <w:lang w:val="en-US" w:eastAsia="zh-CN"/>
        </w:rPr>
        <w:t xml:space="preserve">  </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日止。</w:t>
      </w:r>
    </w:p>
    <w:p w14:paraId="5596CA84">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第三条 甲方的权利和义务</w:t>
      </w:r>
    </w:p>
    <w:p w14:paraId="75E25C6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3.1有权监督、管理、定期检查乙方的维保服务，对乙方的每次保养、维修进行验收。甲方医疗设备维修中心和设备所在科室在乙方提供的维护记录单、维修记录单上共同签字确认方为该次服务验收合格，如验收不合格，甲方有权要求乙方无条件在3日内整改到位、更换不称职人员。</w:t>
      </w:r>
    </w:p>
    <w:p w14:paraId="3B172F0E">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3.2及时、如实告知乙方维保设备的运行情况及故障现象，发现设备故障时立即停止使用以防止故障情况的加重与扩大，并及时将故障情况通报乙方。</w:t>
      </w:r>
    </w:p>
    <w:p w14:paraId="1084A7AC">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3.3为乙方提供工作上的便利，确保乙方现场服务时供水、供电等辅助保障。                        </w:t>
      </w:r>
    </w:p>
    <w:p w14:paraId="57918BA2">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第四条 乙方的权利和义务</w:t>
      </w:r>
    </w:p>
    <w:p w14:paraId="440397E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4.1指派专业技术人员提供维保服务，确保服务期内维保设备功能正常、部件完整、技术性能达标、检测报告完整。</w:t>
      </w:r>
    </w:p>
    <w:p w14:paraId="75672BC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4.2承诺所换配件、易耗品、耗材均为来源合法合规的原厂全新正品，并向甲方提供厂家标准资料文件（进口设备配件需提供真实有效的海关报关单，其他设备配件需提供产品合格证），换下的旧件经甲方同意后可由乙方保留。</w:t>
      </w:r>
    </w:p>
    <w:p w14:paraId="01D9C28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4.3负责设备维护保养的质量、进度和安全作业。</w:t>
      </w:r>
    </w:p>
    <w:p w14:paraId="6A56CB3D">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default"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第五条 风险承担</w:t>
      </w:r>
    </w:p>
    <w:p w14:paraId="75E7B95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5.1乙方在履行本合同过程中发生一切事故，包括但不限于在运输、装卸、安装、调试、维护及保养过程中发生事故，给甲方、乙方或第三方人身、财产造成的所有损失，均由乙方负责处理并承担全部法律责任和经济赔偿。</w:t>
      </w:r>
    </w:p>
    <w:p w14:paraId="3FC13C11">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5.2如甲方因乙方维护、保养服务等原因涉及纠纷、诉讼或被处以行政处罚，由乙方承担甲方因纠纷、诉讼、罚款等造成的全部经济损失。</w:t>
      </w:r>
    </w:p>
    <w:p w14:paraId="7282FFF8">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第六条 知识产权</w:t>
      </w:r>
    </w:p>
    <w:p w14:paraId="46B5CA8F">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乙方承诺已取得维保设备原厂授权，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43E19859">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第七条 保密义务</w:t>
      </w:r>
    </w:p>
    <w:p w14:paraId="6AA2ECB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7.1本合同订立、履行、变更等产生的研究、商讨、交流等信息，履行本合同获悉的甲方商业秘密、运营信息、工作人员信息、患陪个人信息等，均属保密信息。</w:t>
      </w:r>
    </w:p>
    <w:p w14:paraId="3915652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7.2乙方应对保密信息应当采取有效手段严格保密，不得用于非本合同之目的或向第三方泄露。如政府部门、法院或其他有权部门要求乙方提供保密信息，乙方应当立即向甲方通报。</w:t>
      </w:r>
    </w:p>
    <w:p w14:paraId="08A5EBE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7.3因乙方未履行本合同保密义务造成甲方或第三方损失的，由乙方承担全部赔偿责任。</w:t>
      </w:r>
    </w:p>
    <w:p w14:paraId="1366197C">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7.4本合同保密条款在合同被认定无效、被撤销或终止、解除后仍然有效。</w:t>
      </w:r>
    </w:p>
    <w:p w14:paraId="23279410">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仿宋_GB2312" w:hAnsi="仿宋_GB2312" w:eastAsia="仿宋_GB2312" w:cs="仿宋_GB2312"/>
          <w:b/>
          <w:bCs/>
          <w:color w:val="auto"/>
          <w:kern w:val="2"/>
          <w:sz w:val="28"/>
          <w:szCs w:val="28"/>
          <w:lang w:val="en-US" w:eastAsia="zh-CN" w:bidi="ar-SA"/>
        </w:rPr>
      </w:pPr>
      <w:r>
        <w:rPr>
          <w:rFonts w:hint="eastAsia" w:asciiTheme="majorEastAsia" w:hAnsiTheme="majorEastAsia" w:eastAsiaTheme="majorEastAsia" w:cstheme="majorEastAsia"/>
          <w:b/>
          <w:bCs/>
          <w:color w:val="auto"/>
          <w:sz w:val="24"/>
          <w:szCs w:val="24"/>
          <w:lang w:val="en-US" w:eastAsia="zh-CN"/>
        </w:rPr>
        <w:t>第八条 廉洁条款</w:t>
      </w:r>
    </w:p>
    <w:p w14:paraId="7CC4605F">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default" w:ascii="宋体" w:hAnsi="宋体" w:eastAsia="宋体" w:cs="宋体"/>
          <w:sz w:val="24"/>
          <w:lang w:val="en-US" w:eastAsia="zh-CN"/>
        </w:rPr>
        <w:t>8.1乙方应严格遵守国家相关法律法规，涉及合同的有关业务活动必须坚持公开、公平、公正、诚信原则，不得为获取不正当利益，损害国家、集体和甲方利益。</w:t>
      </w:r>
    </w:p>
    <w:p w14:paraId="4960AEAD">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default" w:asciiTheme="majorEastAsia" w:hAnsiTheme="majorEastAsia" w:eastAsiaTheme="majorEastAsia" w:cstheme="majorEastAsia"/>
          <w:b/>
          <w:bCs/>
          <w:color w:val="auto"/>
          <w:sz w:val="24"/>
          <w:szCs w:val="24"/>
          <w:u w:val="single"/>
          <w:lang w:val="en-US" w:eastAsia="zh-CN"/>
        </w:rPr>
      </w:pPr>
      <w:r>
        <w:rPr>
          <w:rFonts w:hint="default" w:asciiTheme="majorEastAsia" w:hAnsiTheme="majorEastAsia" w:eastAsiaTheme="majorEastAsia" w:cstheme="majorEastAsia"/>
          <w:b/>
          <w:bCs/>
          <w:color w:val="auto"/>
          <w:sz w:val="24"/>
          <w:szCs w:val="24"/>
          <w:u w:val="single"/>
          <w:lang w:val="en-US" w:eastAsia="zh-CN"/>
        </w:rPr>
        <w:t>8.2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3768130">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第九条 价款及支付方式</w:t>
      </w:r>
    </w:p>
    <w:p w14:paraId="00AEC0B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9.1本合同维保服务费用总计人民币</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元整（小写</w:t>
      </w:r>
      <w:r>
        <w:rPr>
          <w:rFonts w:hint="eastAsia" w:ascii="宋体" w:hAnsi="宋体" w:eastAsia="宋体" w:cs="宋体"/>
          <w:sz w:val="24"/>
          <w:u w:val="non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元），已包含乙方履行本合同产生的维修费、保养费、检测费、配件费、耗材费、进口光纤费、运输费、装卸费、人工费、上门费、工时费、差旅费、税费等所有费用，甲方不再就设备维保服务额外支付任何其他费用。 </w:t>
      </w:r>
    </w:p>
    <w:p w14:paraId="693932B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cs="宋体"/>
          <w:color w:val="FF0000"/>
          <w:sz w:val="24"/>
          <w:lang w:val="en-US" w:eastAsia="zh-CN"/>
        </w:rPr>
      </w:pPr>
      <w:r>
        <w:rPr>
          <w:rFonts w:hint="eastAsia" w:ascii="宋体" w:hAnsi="宋体" w:eastAsia="宋体" w:cs="宋体"/>
          <w:sz w:val="24"/>
          <w:lang w:val="en-US" w:eastAsia="zh-CN"/>
        </w:rPr>
        <w:t>9.2本合同</w:t>
      </w:r>
      <w:r>
        <w:rPr>
          <w:rFonts w:hint="eastAsia" w:ascii="宋体" w:hAnsi="宋体" w:cs="宋体"/>
          <w:color w:val="FF0000"/>
          <w:sz w:val="24"/>
          <w:lang w:val="en-US" w:eastAsia="zh-CN"/>
        </w:rPr>
        <w:t>服务期限维保服务费用分</w:t>
      </w:r>
      <w:r>
        <w:rPr>
          <w:rFonts w:hint="eastAsia" w:ascii="宋体" w:hAnsi="宋体" w:cs="宋体"/>
          <w:color w:val="0000FF"/>
          <w:sz w:val="24"/>
          <w:lang w:val="en-US" w:eastAsia="zh-CN"/>
        </w:rPr>
        <w:t>4</w:t>
      </w:r>
      <w:r>
        <w:rPr>
          <w:rFonts w:hint="eastAsia" w:ascii="宋体" w:hAnsi="宋体" w:eastAsia="宋体" w:cs="宋体"/>
          <w:color w:val="FF0000"/>
          <w:sz w:val="24"/>
          <w:lang w:val="en-US" w:eastAsia="zh-CN"/>
        </w:rPr>
        <w:t>次</w:t>
      </w:r>
      <w:r>
        <w:rPr>
          <w:rFonts w:hint="eastAsia" w:ascii="宋体" w:hAnsi="宋体" w:cs="宋体"/>
          <w:color w:val="FF0000"/>
          <w:sz w:val="24"/>
          <w:lang w:val="en-US" w:eastAsia="zh-CN"/>
        </w:rPr>
        <w:t>支付，即</w:t>
      </w:r>
      <w:r>
        <w:rPr>
          <w:rFonts w:hint="eastAsia" w:ascii="宋体" w:hAnsi="宋体" w:eastAsia="宋体" w:cs="宋体"/>
          <w:color w:val="FF0000"/>
          <w:sz w:val="24"/>
          <w:lang w:val="en-US" w:eastAsia="zh-CN"/>
        </w:rPr>
        <w:t>甲方在每</w:t>
      </w:r>
      <w:r>
        <w:rPr>
          <w:rFonts w:hint="eastAsia" w:ascii="宋体" w:hAnsi="宋体" w:cs="宋体"/>
          <w:color w:val="0000FF"/>
          <w:sz w:val="24"/>
          <w:lang w:val="en-US" w:eastAsia="zh-CN"/>
        </w:rPr>
        <w:t>半个</w:t>
      </w:r>
      <w:r>
        <w:rPr>
          <w:rFonts w:hint="eastAsia" w:ascii="宋体" w:hAnsi="宋体" w:eastAsia="宋体" w:cs="宋体"/>
          <w:color w:val="FF0000"/>
          <w:sz w:val="24"/>
          <w:lang w:val="en-US" w:eastAsia="zh-CN"/>
        </w:rPr>
        <w:t>合同年度届满</w:t>
      </w:r>
      <w:r>
        <w:rPr>
          <w:rFonts w:hint="eastAsia" w:ascii="宋体" w:hAnsi="宋体" w:cs="宋体"/>
          <w:color w:val="FF0000"/>
          <w:sz w:val="24"/>
          <w:lang w:val="en-US" w:eastAsia="zh-CN"/>
        </w:rPr>
        <w:t>之日起30日内</w:t>
      </w:r>
      <w:r>
        <w:rPr>
          <w:rFonts w:hint="eastAsia" w:ascii="宋体" w:hAnsi="宋体" w:eastAsia="宋体" w:cs="宋体"/>
          <w:color w:val="FF0000"/>
          <w:sz w:val="24"/>
          <w:lang w:val="en-US" w:eastAsia="zh-CN"/>
        </w:rPr>
        <w:t>支付</w:t>
      </w:r>
      <w:r>
        <w:rPr>
          <w:rFonts w:hint="eastAsia" w:ascii="宋体" w:hAnsi="宋体" w:cs="宋体"/>
          <w:color w:val="FF0000"/>
          <w:sz w:val="24"/>
          <w:lang w:val="en-US" w:eastAsia="zh-CN"/>
        </w:rPr>
        <w:t>本合同</w:t>
      </w:r>
      <w:r>
        <w:rPr>
          <w:rFonts w:hint="eastAsia" w:ascii="宋体" w:hAnsi="宋体" w:eastAsia="宋体" w:cs="宋体"/>
          <w:color w:val="FF0000"/>
          <w:sz w:val="24"/>
          <w:lang w:val="en-US" w:eastAsia="zh-CN"/>
        </w:rPr>
        <w:t>总价款的50%，即人民币</w:t>
      </w:r>
      <w:r>
        <w:rPr>
          <w:rFonts w:hint="eastAsia" w:ascii="宋体" w:hAnsi="宋体" w:cs="宋体"/>
          <w:color w:val="FF0000"/>
          <w:sz w:val="24"/>
          <w:lang w:val="en-US" w:eastAsia="zh-CN"/>
        </w:rPr>
        <w:t>大写</w:t>
      </w:r>
      <w:r>
        <w:rPr>
          <w:rFonts w:hint="eastAsia" w:ascii="宋体" w:hAnsi="宋体" w:eastAsia="宋体" w:cs="宋体"/>
          <w:color w:val="FF0000"/>
          <w:sz w:val="24"/>
          <w:u w:val="single"/>
          <w:lang w:val="en-US" w:eastAsia="zh-CN"/>
        </w:rPr>
        <w:t xml:space="preserve">   </w:t>
      </w:r>
      <w:r>
        <w:rPr>
          <w:rFonts w:hint="eastAsia" w:ascii="宋体" w:hAnsi="宋体" w:cs="宋体"/>
          <w:color w:val="FF0000"/>
          <w:sz w:val="24"/>
          <w:u w:val="single"/>
          <w:lang w:val="en-US" w:eastAsia="zh-CN"/>
        </w:rPr>
        <w:t xml:space="preserve">  </w:t>
      </w:r>
      <w:r>
        <w:rPr>
          <w:rFonts w:hint="eastAsia" w:ascii="宋体" w:hAnsi="宋体" w:eastAsia="宋体" w:cs="宋体"/>
          <w:color w:val="FF0000"/>
          <w:sz w:val="24"/>
          <w:lang w:val="en-US" w:eastAsia="zh-CN"/>
        </w:rPr>
        <w:t>元整（小写：</w:t>
      </w:r>
      <w:r>
        <w:rPr>
          <w:rFonts w:hint="eastAsia" w:ascii="宋体" w:hAnsi="宋体" w:eastAsia="宋体" w:cs="宋体"/>
          <w:color w:val="FF0000"/>
          <w:sz w:val="24"/>
          <w:u w:val="single"/>
          <w:lang w:val="en-US" w:eastAsia="zh-CN"/>
        </w:rPr>
        <w:t xml:space="preserve">  </w:t>
      </w:r>
      <w:r>
        <w:rPr>
          <w:rFonts w:hint="eastAsia" w:ascii="宋体" w:hAnsi="宋体" w:eastAsia="宋体" w:cs="宋体"/>
          <w:color w:val="FF0000"/>
          <w:sz w:val="24"/>
          <w:lang w:val="en-US" w:eastAsia="zh-CN"/>
        </w:rPr>
        <w:t>元）；</w:t>
      </w:r>
      <w:r>
        <w:rPr>
          <w:rFonts w:hint="eastAsia" w:ascii="宋体" w:hAnsi="宋体" w:cs="宋体"/>
          <w:color w:val="FF0000"/>
          <w:sz w:val="24"/>
          <w:lang w:val="en-US" w:eastAsia="zh-CN"/>
        </w:rPr>
        <w:t>如出现扣款情形，甲方将扣除后的剩余款项支付给乙方。</w:t>
      </w:r>
    </w:p>
    <w:p w14:paraId="76E222AE">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9.3甲方通过银行转账方式支付价款至乙方指定收款银行账户。乙方指定收款银行账户：户名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，开户行：</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，账号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 。</w:t>
      </w:r>
    </w:p>
    <w:p w14:paraId="280EDFF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9.4乙方应在甲方每次付款前提供以乙方名义开具的</w:t>
      </w:r>
      <w:r>
        <w:rPr>
          <w:rFonts w:hint="eastAsia" w:ascii="宋体" w:hAnsi="宋体" w:cs="宋体"/>
          <w:color w:val="FF0000"/>
          <w:sz w:val="24"/>
          <w:lang w:val="en-US" w:eastAsia="zh-CN"/>
        </w:rPr>
        <w:t>价税合计金额与付款金额等</w:t>
      </w:r>
      <w:r>
        <w:rPr>
          <w:rFonts w:hint="eastAsia" w:ascii="宋体" w:hAnsi="宋体" w:eastAsia="宋体" w:cs="宋体"/>
          <w:color w:val="FF0000"/>
          <w:sz w:val="24"/>
          <w:lang w:val="en-US" w:eastAsia="zh-CN"/>
        </w:rPr>
        <w:t>额</w:t>
      </w:r>
      <w:r>
        <w:rPr>
          <w:rFonts w:hint="eastAsia" w:ascii="宋体" w:hAnsi="宋体" w:cs="宋体"/>
          <w:color w:val="FF0000"/>
          <w:sz w:val="24"/>
          <w:lang w:val="en-US" w:eastAsia="zh-CN"/>
        </w:rPr>
        <w:t>的增值税普通</w:t>
      </w:r>
      <w:r>
        <w:rPr>
          <w:rFonts w:hint="eastAsia" w:ascii="宋体" w:hAnsi="宋体" w:eastAsia="宋体" w:cs="宋体"/>
          <w:color w:val="FF0000"/>
          <w:sz w:val="24"/>
          <w:lang w:val="en-US" w:eastAsia="zh-CN"/>
        </w:rPr>
        <w:t>发票</w:t>
      </w:r>
      <w:r>
        <w:rPr>
          <w:rFonts w:hint="eastAsia" w:ascii="宋体" w:hAnsi="宋体" w:eastAsia="宋体" w:cs="宋体"/>
          <w:sz w:val="24"/>
          <w:lang w:val="en-US" w:eastAsia="zh-CN"/>
        </w:rPr>
        <w:t>和半年期内经甲方签字确认的维护记录单、维修记录单复印件；如未提供，甲方有权顺延付款期限，由此产生的责任均由乙方承担。</w:t>
      </w:r>
    </w:p>
    <w:p w14:paraId="6F0C2D16">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default"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 xml:space="preserve">第十条 </w:t>
      </w:r>
      <w:r>
        <w:rPr>
          <w:rFonts w:hint="default" w:asciiTheme="majorEastAsia" w:hAnsiTheme="majorEastAsia" w:eastAsiaTheme="majorEastAsia" w:cstheme="majorEastAsia"/>
          <w:b/>
          <w:bCs/>
          <w:color w:val="auto"/>
          <w:sz w:val="24"/>
          <w:szCs w:val="24"/>
          <w:lang w:val="en-US" w:eastAsia="zh-CN"/>
        </w:rPr>
        <w:t>通知</w:t>
      </w:r>
      <w:r>
        <w:rPr>
          <w:rFonts w:hint="eastAsia" w:asciiTheme="majorEastAsia" w:hAnsiTheme="majorEastAsia" w:eastAsiaTheme="majorEastAsia" w:cstheme="majorEastAsia"/>
          <w:b/>
          <w:bCs/>
          <w:color w:val="auto"/>
          <w:sz w:val="24"/>
          <w:szCs w:val="24"/>
          <w:lang w:val="en-US" w:eastAsia="zh-CN"/>
        </w:rPr>
        <w:t>与送达</w:t>
      </w:r>
    </w:p>
    <w:p w14:paraId="5FF2B59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10.1甲乙双方同意，与本合同有关的任何文书，应以书面方式按照本合同约定发送，书面方式包括手机短信、微信、书面函件、电子邮件等形式。</w:t>
      </w:r>
    </w:p>
    <w:p w14:paraId="780D69CD">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10.2双方确认的文书（包括未来可能发生的诉讼或仲裁活动中法院或仲裁机构的送达法律文书）送达地址：</w:t>
      </w:r>
    </w:p>
    <w:p w14:paraId="18724B6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ascii="宋体" w:hAnsi="宋体" w:eastAsia="宋体" w:cs="宋体"/>
          <w:sz w:val="24"/>
        </w:rPr>
      </w:pPr>
      <w:r>
        <w:rPr>
          <w:rFonts w:hint="eastAsia" w:ascii="宋体" w:hAnsi="宋体" w:eastAsia="宋体" w:cs="宋体"/>
          <w:sz w:val="24"/>
          <w:lang w:val="en-US" w:eastAsia="zh-CN"/>
        </w:rPr>
        <w:t>10.2.1</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娄底市中心医院医疗设备维修中心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cs="宋体"/>
          <w:sz w:val="24"/>
          <w:u w:val="single"/>
          <w:lang w:val="en-US" w:eastAsia="zh-CN"/>
        </w:rPr>
        <w:t>王学辉</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13</w:t>
      </w:r>
      <w:r>
        <w:rPr>
          <w:rFonts w:hint="eastAsia" w:ascii="宋体" w:hAnsi="宋体" w:cs="宋体"/>
          <w:sz w:val="24"/>
          <w:u w:val="single"/>
          <w:lang w:val="en-US" w:eastAsia="zh-CN"/>
        </w:rPr>
        <w:t>875448558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13</w:t>
      </w:r>
      <w:r>
        <w:rPr>
          <w:rFonts w:hint="eastAsia" w:ascii="宋体" w:hAnsi="宋体" w:cs="宋体"/>
          <w:sz w:val="24"/>
          <w:u w:val="single"/>
          <w:lang w:val="en-US" w:eastAsia="zh-CN"/>
        </w:rPr>
        <w:t>875448558</w:t>
      </w:r>
      <w:r>
        <w:rPr>
          <w:rFonts w:hint="eastAsia" w:ascii="宋体" w:hAnsi="宋体" w:eastAsia="宋体" w:cs="宋体"/>
          <w:sz w:val="24"/>
          <w:u w:val="single"/>
        </w:rPr>
        <w:t xml:space="preserve"> </w:t>
      </w:r>
      <w:r>
        <w:rPr>
          <w:rFonts w:ascii="宋体" w:hAnsi="宋体" w:eastAsia="宋体" w:cs="宋体"/>
          <w:sz w:val="24"/>
        </w:rPr>
        <w:t>。</w:t>
      </w:r>
    </w:p>
    <w:p w14:paraId="1D19ECD1">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10.2.2乙方的文书送达地址：</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，收件人：</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，联系电话：</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，电子邮箱：</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 w14:paraId="224A502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10.3上述通知应被视为在下列时间送达：以快递或专人发送的，在收件人签收之日或拒收之日；以挂号邮件发出的，在发出之日起7个工作日；以电子邮件发出的，在电子邮件进入收件方电子邮箱服务器之日。</w:t>
      </w:r>
    </w:p>
    <w:p w14:paraId="5E817420">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10.4以上地址和联系方式，任何一方发生变更应在变更之日起</w:t>
      </w:r>
      <w:r>
        <w:rPr>
          <w:rFonts w:hint="eastAsia" w:ascii="宋体" w:hAnsi="宋体" w:eastAsia="宋体" w:cs="宋体"/>
          <w:sz w:val="24"/>
          <w:u w:val="single"/>
          <w:lang w:val="en-US" w:eastAsia="zh-CN"/>
        </w:rPr>
        <w:t>3</w:t>
      </w:r>
      <w:r>
        <w:rPr>
          <w:rFonts w:hint="eastAsia" w:ascii="宋体" w:hAnsi="宋体" w:eastAsia="宋体" w:cs="宋体"/>
          <w:sz w:val="24"/>
          <w:lang w:val="en-US" w:eastAsia="zh-CN"/>
        </w:rPr>
        <w:t>日内通知对方。如未通知，一方按原地址送达的书面资料被退回的，退回之日视为送达之日。任何一方按照确认地址送到另一方的书面资料被拒绝签收导致邮件被退回的，退回之日视为送达之日。</w:t>
      </w:r>
    </w:p>
    <w:p w14:paraId="3A26D2D6">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第十一条 合同的变更和解除</w:t>
      </w:r>
    </w:p>
    <w:p w14:paraId="745C48EF">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11.1本合同未尽事宜，双方协商一致后另行签订变更、补充协议。</w:t>
      </w:r>
    </w:p>
    <w:p w14:paraId="4A7B4EFD">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11.2乙方提供的维保服务必须符合甲方要求，如出现下列情形之一的，甲方有权单方面解除合同：</w:t>
      </w:r>
    </w:p>
    <w:p w14:paraId="0944A0A9">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11.2.1因乙方工作等原因造成维保设备故障，超过</w:t>
      </w:r>
      <w:r>
        <w:rPr>
          <w:rFonts w:hint="eastAsia" w:ascii="宋体" w:hAnsi="宋体" w:eastAsia="宋体" w:cs="宋体"/>
          <w:sz w:val="24"/>
          <w:u w:val="single"/>
          <w:lang w:val="en-US" w:eastAsia="zh-CN"/>
        </w:rPr>
        <w:t>48</w:t>
      </w:r>
      <w:r>
        <w:rPr>
          <w:rFonts w:hint="eastAsia" w:ascii="宋体" w:hAnsi="宋体" w:eastAsia="宋体" w:cs="宋体"/>
          <w:sz w:val="24"/>
          <w:lang w:val="en-US" w:eastAsia="zh-CN"/>
        </w:rPr>
        <w:t>小时仍未修复的；</w:t>
      </w:r>
    </w:p>
    <w:p w14:paraId="13B1780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11.2.2乙方自接到甲方的维保服务整改、更换维保人员通知后</w:t>
      </w:r>
      <w:r>
        <w:rPr>
          <w:rFonts w:hint="eastAsia" w:ascii="宋体" w:hAnsi="宋体" w:eastAsia="宋体" w:cs="宋体"/>
          <w:sz w:val="24"/>
          <w:u w:val="single"/>
          <w:lang w:val="en-US" w:eastAsia="zh-CN"/>
        </w:rPr>
        <w:t>5</w:t>
      </w:r>
      <w:r>
        <w:rPr>
          <w:rFonts w:hint="eastAsia" w:ascii="宋体" w:hAnsi="宋体" w:eastAsia="宋体" w:cs="宋体"/>
          <w:sz w:val="24"/>
          <w:lang w:val="en-US" w:eastAsia="zh-CN"/>
        </w:rPr>
        <w:t>日内仍未到位的；</w:t>
      </w:r>
    </w:p>
    <w:p w14:paraId="1EED24B2">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11.2.3任意一台维保设备年度开机率低于</w:t>
      </w:r>
      <w:r>
        <w:rPr>
          <w:rFonts w:hint="eastAsia" w:ascii="宋体" w:hAnsi="宋体" w:eastAsia="宋体" w:cs="宋体"/>
          <w:sz w:val="24"/>
          <w:u w:val="single"/>
          <w:lang w:val="en-US" w:eastAsia="zh-CN"/>
        </w:rPr>
        <w:t>92%</w:t>
      </w:r>
      <w:r>
        <w:rPr>
          <w:rFonts w:hint="eastAsia" w:ascii="宋体" w:hAnsi="宋体" w:eastAsia="宋体" w:cs="宋体"/>
          <w:sz w:val="24"/>
          <w:lang w:val="en-US" w:eastAsia="zh-CN"/>
        </w:rPr>
        <w:t>即全年开机天数少于</w:t>
      </w:r>
      <w:r>
        <w:rPr>
          <w:rFonts w:hint="eastAsia" w:ascii="宋体" w:hAnsi="宋体" w:eastAsia="宋体" w:cs="宋体"/>
          <w:sz w:val="24"/>
          <w:u w:val="single"/>
          <w:lang w:val="en-US" w:eastAsia="zh-CN"/>
        </w:rPr>
        <w:t>336</w:t>
      </w:r>
      <w:r>
        <w:rPr>
          <w:rFonts w:hint="eastAsia" w:ascii="宋体" w:hAnsi="宋体" w:eastAsia="宋体" w:cs="宋体"/>
          <w:sz w:val="24"/>
          <w:lang w:val="en-US" w:eastAsia="zh-CN"/>
        </w:rPr>
        <w:t xml:space="preserve">天的；  </w:t>
      </w:r>
    </w:p>
    <w:p w14:paraId="7BC7C86F">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11.2.4乙方在履行合同期间造成甲方损失</w:t>
      </w:r>
      <w:r>
        <w:rPr>
          <w:rFonts w:hint="eastAsia" w:ascii="宋体" w:hAnsi="宋体" w:eastAsia="宋体" w:cs="宋体"/>
          <w:sz w:val="24"/>
          <w:u w:val="single"/>
          <w:lang w:val="en-US" w:eastAsia="zh-CN"/>
        </w:rPr>
        <w:t>30000</w:t>
      </w:r>
      <w:r>
        <w:rPr>
          <w:rFonts w:hint="eastAsia" w:ascii="宋体" w:hAnsi="宋体" w:eastAsia="宋体" w:cs="宋体"/>
          <w:sz w:val="24"/>
          <w:lang w:val="en-US" w:eastAsia="zh-CN"/>
        </w:rPr>
        <w:t>元以上（包括本数）的；</w:t>
      </w:r>
    </w:p>
    <w:p w14:paraId="2B679ACB">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11.2.5经乙方维保后设备未通过有关国家资质质检部门检测的；</w:t>
      </w:r>
    </w:p>
    <w:p w14:paraId="23B7F097">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宋体" w:hAnsi="宋体" w:eastAsia="宋体" w:cs="宋体"/>
          <w:sz w:val="24"/>
          <w:lang w:val="en-US" w:eastAsia="zh-CN"/>
        </w:rPr>
        <w:t>11.2.6乙方将维保服务转包、分包给第三方的。</w:t>
      </w:r>
    </w:p>
    <w:p w14:paraId="3BFBBAF2">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第十二条 违约责任</w:t>
      </w:r>
    </w:p>
    <w:p w14:paraId="4FD9D448">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12.1如乙方未按本合同1.5.2约定和甲方要求完成定期保养维护服务，除承担甲方由此造成的损失（包括但不限于第三方维保产生的费用）外，每逾期一日，向甲方支付违约金500元。</w:t>
      </w:r>
    </w:p>
    <w:p w14:paraId="16C6BF51">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12.2如乙方未按本合同1.5.3约定在规定时间内排除设备故障并提供备用机到位，除承担甲方由此造成的损失（包括但不限于第三方维保产生的费用）外，每逾期一日，向甲方支付违约金 1000元。</w:t>
      </w:r>
    </w:p>
    <w:p w14:paraId="5FE27CA4">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12.3如乙方擅自解除合同</w:t>
      </w:r>
      <w:r>
        <w:rPr>
          <w:rFonts w:hint="eastAsia" w:ascii="宋体" w:hAnsi="宋体" w:eastAsia="宋体" w:cs="宋体"/>
          <w:color w:val="0000FF"/>
          <w:sz w:val="24"/>
          <w:lang w:val="en-US" w:eastAsia="zh-CN"/>
        </w:rPr>
        <w:t>或甲方因11.</w:t>
      </w:r>
      <w:r>
        <w:rPr>
          <w:rFonts w:hint="eastAsia" w:ascii="宋体" w:hAnsi="宋体" w:cs="宋体"/>
          <w:color w:val="0000FF"/>
          <w:sz w:val="24"/>
          <w:lang w:val="en-US" w:eastAsia="zh-CN"/>
        </w:rPr>
        <w:t>2</w:t>
      </w:r>
      <w:r>
        <w:rPr>
          <w:rFonts w:hint="eastAsia" w:ascii="宋体" w:hAnsi="宋体" w:eastAsia="宋体" w:cs="宋体"/>
          <w:color w:val="0000FF"/>
          <w:sz w:val="24"/>
          <w:lang w:val="en-US" w:eastAsia="zh-CN"/>
        </w:rPr>
        <w:t>情形解除合同</w:t>
      </w:r>
      <w:r>
        <w:rPr>
          <w:rFonts w:hint="eastAsia" w:ascii="宋体" w:hAnsi="宋体" w:eastAsia="宋体" w:cs="宋体"/>
          <w:sz w:val="24"/>
          <w:lang w:val="en-US" w:eastAsia="zh-CN"/>
        </w:rPr>
        <w:t>，乙方除赔偿甲方由此造成的全部损失（包括但不限于实际经济损失，因第三方维修保养产生的费用，因纠纷产生的律师费、诉讼费、差旅费等）外，还须本合同维保费用总价款的20%向甲方支付违约金。</w:t>
      </w:r>
    </w:p>
    <w:p w14:paraId="45A15954">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u w:val="single"/>
          <w:lang w:val="en-US" w:eastAsia="zh-CN"/>
        </w:rPr>
      </w:pPr>
      <w:r>
        <w:rPr>
          <w:rFonts w:hint="eastAsia" w:asciiTheme="majorEastAsia" w:hAnsiTheme="majorEastAsia" w:eastAsiaTheme="majorEastAsia" w:cstheme="majorEastAsia"/>
          <w:b/>
          <w:bCs/>
          <w:color w:val="auto"/>
          <w:sz w:val="24"/>
          <w:szCs w:val="24"/>
          <w:u w:val="single"/>
          <w:lang w:val="en-US" w:eastAsia="zh-CN"/>
        </w:rPr>
        <w:t>12.4无论甲方在任意时候（不限于本合同履行期间）发现存在违反本合同廉洁条款的行为，乙方均须向甲方一次性支付惩罚性违约金</w:t>
      </w:r>
      <w:r>
        <w:rPr>
          <w:rFonts w:hint="eastAsia" w:asciiTheme="majorEastAsia" w:hAnsiTheme="majorEastAsia" w:eastAsiaTheme="majorEastAsia" w:cstheme="majorEastAsia"/>
          <w:b/>
          <w:bCs/>
          <w:color w:val="0000FF"/>
          <w:sz w:val="24"/>
          <w:szCs w:val="24"/>
          <w:u w:val="single"/>
          <w:lang w:val="en-US" w:eastAsia="zh-CN"/>
        </w:rPr>
        <w:t>36000.00</w:t>
      </w:r>
      <w:r>
        <w:rPr>
          <w:rFonts w:hint="eastAsia" w:asciiTheme="majorEastAsia" w:hAnsiTheme="majorEastAsia" w:eastAsiaTheme="majorEastAsia" w:cstheme="majorEastAsia"/>
          <w:b/>
          <w:bCs/>
          <w:color w:val="auto"/>
          <w:sz w:val="24"/>
          <w:szCs w:val="24"/>
          <w:u w:val="single"/>
          <w:lang w:val="en-US" w:eastAsia="zh-CN"/>
        </w:rPr>
        <w:t>元。如乙方除需承担违反廉洁条款的违约责任外，同时存在其他违约行为，乙方仍须就其他违约行为承担相应违约责任。</w:t>
      </w:r>
    </w:p>
    <w:p w14:paraId="4836891D">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u w:val="single"/>
          <w:lang w:val="en-US" w:eastAsia="zh-CN"/>
        </w:rPr>
        <w:t>12.5依据本合同约定乙方应支付给甲方的违约金，甲方有权在应支付给乙方的任意价款中直接予以扣除，如扣除部分不足，乙方应在接到甲方通知后3日内补足。</w:t>
      </w:r>
    </w:p>
    <w:p w14:paraId="2CB27B24">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default"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第十三条 不可抗力</w:t>
      </w:r>
    </w:p>
    <w:p w14:paraId="5DE2A48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因不可抗力影响导致逾期履行的，不承担违约责任，不可抗力因素消除后，应当继续履行。本合同所称“不可抗力影响”指不能预见、不能避免且不能克服的客观情况，包括自然灾害、火灾、水灾、台风、地震、动乱、战争等。 </w:t>
      </w:r>
    </w:p>
    <w:p w14:paraId="129302D8">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default"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第十四条 争议解决方式</w:t>
      </w:r>
    </w:p>
    <w:p w14:paraId="56F8E7D5">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因履行本合同引起的或与本合同有关的争议，甲乙双方应先协商解决，协商不成的，任一方均有权向甲方所在地有管辖权的人民法院提起诉讼解决。</w:t>
      </w:r>
    </w:p>
    <w:p w14:paraId="7F32D6D3">
      <w:pPr>
        <w:keepNext w:val="0"/>
        <w:keepLines w:val="0"/>
        <w:pageBreakBefore w:val="0"/>
        <w:widowControl w:val="0"/>
        <w:numPr>
          <w:ilvl w:val="0"/>
          <w:numId w:val="0"/>
        </w:numPr>
        <w:kinsoku/>
        <w:wordWrap/>
        <w:overflowPunct/>
        <w:topLinePunct/>
        <w:autoSpaceDE/>
        <w:autoSpaceDN/>
        <w:bidi w:val="0"/>
        <w:adjustRightInd/>
        <w:snapToGrid/>
        <w:spacing w:line="480" w:lineRule="exact"/>
        <w:ind w:leftChars="0" w:firstLine="482" w:firstLineChars="200"/>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第十五条 其他</w:t>
      </w:r>
    </w:p>
    <w:p w14:paraId="6DDCCFA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15.1本合同组成文件和优先解释顺序：乙方在履行本合同中作出的书面承诺；本合同补充协议；本合同及附件；</w:t>
      </w:r>
      <w:r>
        <w:rPr>
          <w:rFonts w:hint="eastAsia" w:ascii="宋体" w:hAnsi="宋体" w:eastAsia="宋体" w:cs="宋体"/>
          <w:color w:val="0000FF"/>
          <w:sz w:val="24"/>
          <w:lang w:val="en-US" w:eastAsia="zh-CN"/>
        </w:rPr>
        <w:t>中标通知书/成交通知书/议价结果公示/成交公告；投标文件/响应文件；招标文件/采购文件/采购需求；</w:t>
      </w:r>
      <w:r>
        <w:rPr>
          <w:rFonts w:hint="eastAsia" w:ascii="宋体" w:hAnsi="宋体" w:eastAsia="宋体" w:cs="宋体"/>
          <w:sz w:val="24"/>
          <w:lang w:val="en-US" w:eastAsia="zh-CN"/>
        </w:rPr>
        <w:t>其他与本合同有关的资料。</w:t>
      </w:r>
    </w:p>
    <w:p w14:paraId="3650E9BA">
      <w:pPr>
        <w:keepNext w:val="0"/>
        <w:keepLines w:val="0"/>
        <w:pageBreakBefore w:val="0"/>
        <w:widowControl w:val="0"/>
        <w:kinsoku/>
        <w:wordWrap/>
        <w:overflowPunct/>
        <w:topLinePunct/>
        <w:autoSpaceDE/>
        <w:autoSpaceDN/>
        <w:bidi w:val="0"/>
        <w:adjustRightInd/>
        <w:snapToGrid/>
        <w:spacing w:line="48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15.2本合同壹式肆份，甲方执叁份、乙方执壹份，自双方签字</w:t>
      </w:r>
      <w:r>
        <w:rPr>
          <w:rFonts w:hint="eastAsia" w:ascii="宋体" w:hAnsi="宋体" w:cs="宋体"/>
          <w:color w:val="0000FF"/>
          <w:sz w:val="24"/>
          <w:lang w:val="en-US" w:eastAsia="zh-CN"/>
        </w:rPr>
        <w:t>并</w:t>
      </w:r>
      <w:r>
        <w:rPr>
          <w:rFonts w:hint="eastAsia" w:ascii="宋体" w:hAnsi="宋体" w:eastAsia="宋体" w:cs="宋体"/>
          <w:sz w:val="24"/>
          <w:lang w:val="en-US" w:eastAsia="zh-CN"/>
        </w:rPr>
        <w:t>盖章之日起生效。</w:t>
      </w:r>
    </w:p>
    <w:p w14:paraId="61E10BF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42E0C68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甲方（盖章）：娄底市中心医院     乙方（盖章）：</w:t>
      </w:r>
    </w:p>
    <w:p w14:paraId="2412348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14B3884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法定代表人（签字）：              法定代表人（签字）： </w:t>
      </w:r>
    </w:p>
    <w:p w14:paraId="41815B6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62A3D2F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或委托代理人（签字）：            或委托代理人（签字）：</w:t>
      </w:r>
    </w:p>
    <w:p w14:paraId="50398F4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163588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合同签订地、履行地：娄底市娄星区    签订时间：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年   月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日</w:t>
      </w:r>
    </w:p>
    <w:p w14:paraId="5C086BF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040B4A6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color w:val="000000" w:themeColor="text1"/>
          <w:sz w:val="24"/>
          <w:szCs w:val="24"/>
          <w14:textFill>
            <w14:solidFill>
              <w14:schemeClr w14:val="tx1"/>
            </w14:solidFill>
          </w14:textFill>
        </w:rPr>
      </w:pPr>
    </w:p>
    <w:p w14:paraId="1FC661A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p>
    <w:p w14:paraId="2B650945">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bookmarkStart w:id="4" w:name="_GoBack"/>
      <w:bookmarkEnd w:id="4"/>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18"/>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7"/>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17"/>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18"/>
        <w:rPr>
          <w:color w:val="auto"/>
        </w:rPr>
      </w:pPr>
    </w:p>
    <w:p w14:paraId="5EEA99A1">
      <w:pPr>
        <w:pStyle w:val="17"/>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8"/>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8"/>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653F41"/>
    <w:rsid w:val="04B72FC8"/>
    <w:rsid w:val="04F57A38"/>
    <w:rsid w:val="050719CA"/>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79B74B7"/>
    <w:rsid w:val="48735221"/>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D8243C"/>
    <w:rsid w:val="56483C8F"/>
    <w:rsid w:val="581A7C72"/>
    <w:rsid w:val="583A4BD7"/>
    <w:rsid w:val="59C74B1F"/>
    <w:rsid w:val="5A886F59"/>
    <w:rsid w:val="604D5946"/>
    <w:rsid w:val="611B6B1B"/>
    <w:rsid w:val="62030FF0"/>
    <w:rsid w:val="62C222C2"/>
    <w:rsid w:val="632D7C40"/>
    <w:rsid w:val="64133D6A"/>
    <w:rsid w:val="64245572"/>
    <w:rsid w:val="66C30AF5"/>
    <w:rsid w:val="678E4F5D"/>
    <w:rsid w:val="67F3562A"/>
    <w:rsid w:val="680E122C"/>
    <w:rsid w:val="6A4E1D63"/>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Date"/>
    <w:basedOn w:val="1"/>
    <w:next w:val="1"/>
    <w:qFormat/>
    <w:uiPriority w:val="0"/>
    <w:rPr>
      <w:color w:val="000000"/>
      <w:kern w:val="0"/>
      <w:sz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大标题"/>
    <w:basedOn w:val="1"/>
    <w:next w:val="11"/>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7284</Words>
  <Characters>7995</Characters>
  <Lines>0</Lines>
  <Paragraphs>0</Paragraphs>
  <TotalTime>0</TotalTime>
  <ScaleCrop>false</ScaleCrop>
  <LinksUpToDate>false</LinksUpToDate>
  <CharactersWithSpaces>8339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2026-03-19T01:42:08Z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3505A2AB25E048A4A9B0E6A6741CA1BA_11</vt:lpwstr>
  </property>
  <property fmtid="{D5CDD505-2E9C-101B-9397-08002B2CF9AE}" pid="4" name="KSOTemplateDocerSaveRecord">
    <vt:lpwstr>eyJoZGlkIjoiOWU3YmMxNGQ0NDE0NTRiYjQ3MWFkZjk1MWM2MTc2NWEiLCJ1c2VySWQiOiI0NDIzNjcyODQifQ==</vt:lpwstr>
  </property>
</Properties>
</file>