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2D2C0">
      <w:pPr>
        <w:pStyle w:val="6"/>
        <w:snapToGrid w:val="0"/>
        <w:jc w:val="center"/>
        <w:rPr>
          <w:rFonts w:hint="eastAsia" w:ascii="Arial" w:hAnsi="Arial" w:eastAsia="方正小标宋简体" w:cs="Arial"/>
          <w:sz w:val="72"/>
          <w:szCs w:val="72"/>
        </w:rPr>
      </w:pPr>
      <w:bookmarkStart w:id="0" w:name="_Toc16523570"/>
    </w:p>
    <w:p w14:paraId="1B95787E">
      <w:pPr>
        <w:pStyle w:val="6"/>
        <w:snapToGrid w:val="0"/>
        <w:jc w:val="center"/>
        <w:rPr>
          <w:rFonts w:hint="eastAsia" w:ascii="Arial" w:hAnsi="Arial" w:eastAsia="方正小标宋简体" w:cs="Arial"/>
          <w:sz w:val="72"/>
          <w:szCs w:val="72"/>
        </w:rPr>
      </w:pPr>
      <w:r>
        <w:rPr>
          <w:rFonts w:hint="eastAsia" w:ascii="Arial" w:hAnsi="Arial" w:eastAsia="方正小标宋简体" w:cs="Arial"/>
          <w:sz w:val="72"/>
          <w:szCs w:val="72"/>
        </w:rPr>
        <w:t>娄底市中心医院</w:t>
      </w:r>
    </w:p>
    <w:p w14:paraId="75F3B684">
      <w:pPr>
        <w:pStyle w:val="6"/>
        <w:snapToGrid w:val="0"/>
        <w:jc w:val="center"/>
        <w:rPr>
          <w:rFonts w:hint="eastAsia" w:ascii="Arial" w:hAnsi="Arial" w:eastAsia="方正小标宋简体" w:cs="Arial"/>
          <w:sz w:val="72"/>
          <w:szCs w:val="72"/>
        </w:rPr>
      </w:pPr>
    </w:p>
    <w:p w14:paraId="65C368DD">
      <w:pPr>
        <w:pStyle w:val="6"/>
        <w:snapToGrid w:val="0"/>
        <w:jc w:val="center"/>
        <w:rPr>
          <w:rFonts w:hint="eastAsia" w:ascii="Arial" w:hAnsi="Arial" w:eastAsia="方正小标宋简体" w:cs="Arial"/>
          <w:sz w:val="72"/>
          <w:szCs w:val="72"/>
        </w:rPr>
      </w:pPr>
    </w:p>
    <w:p w14:paraId="11616A47">
      <w:pPr>
        <w:pStyle w:val="6"/>
        <w:snapToGrid w:val="0"/>
        <w:jc w:val="center"/>
        <w:rPr>
          <w:rFonts w:hint="eastAsia" w:ascii="Arial" w:hAnsi="Arial" w:eastAsia="方正小标宋简体" w:cs="Arial"/>
          <w:sz w:val="72"/>
          <w:szCs w:val="72"/>
        </w:rPr>
      </w:pPr>
    </w:p>
    <w:p w14:paraId="39F8D380">
      <w:pPr>
        <w:pStyle w:val="6"/>
        <w:snapToGrid w:val="0"/>
        <w:jc w:val="center"/>
        <w:rPr>
          <w:rFonts w:ascii="Arial" w:hAnsi="Arial" w:eastAsia="方正小标宋简体" w:cs="Arial"/>
          <w:sz w:val="36"/>
          <w:szCs w:val="36"/>
        </w:rPr>
      </w:pPr>
      <w:r>
        <w:rPr>
          <w:rFonts w:hint="eastAsia" w:ascii="Arial" w:hAnsi="Arial" w:eastAsia="方正小标宋简体" w:cs="Arial"/>
          <w:sz w:val="72"/>
          <w:szCs w:val="72"/>
          <w:lang w:val="en-US" w:eastAsia="zh-CN"/>
        </w:rPr>
        <w:t>采购</w:t>
      </w:r>
      <w:r>
        <w:rPr>
          <w:rFonts w:ascii="Arial" w:hAnsi="Arial" w:eastAsia="方正小标宋简体" w:cs="Arial"/>
          <w:sz w:val="72"/>
          <w:szCs w:val="72"/>
        </w:rPr>
        <w:t>文件</w:t>
      </w:r>
    </w:p>
    <w:p w14:paraId="37F791A7">
      <w:pPr>
        <w:pStyle w:val="6"/>
        <w:snapToGrid w:val="0"/>
        <w:jc w:val="center"/>
        <w:rPr>
          <w:rFonts w:ascii="Arial" w:hAnsi="Arial" w:cs="Arial"/>
          <w:sz w:val="32"/>
          <w:szCs w:val="32"/>
        </w:rPr>
      </w:pPr>
    </w:p>
    <w:p w14:paraId="409EB72F">
      <w:pPr>
        <w:pStyle w:val="22"/>
        <w:rPr>
          <w:rFonts w:ascii="Arial" w:hAnsi="Arial" w:cs="Arial"/>
          <w:sz w:val="32"/>
          <w:szCs w:val="32"/>
        </w:rPr>
      </w:pPr>
    </w:p>
    <w:p w14:paraId="668BDAFE">
      <w:pPr>
        <w:pStyle w:val="16"/>
        <w:rPr>
          <w:rFonts w:ascii="Arial" w:hAnsi="Arial" w:cs="Arial"/>
          <w:sz w:val="32"/>
          <w:szCs w:val="32"/>
        </w:rPr>
      </w:pPr>
    </w:p>
    <w:p w14:paraId="30B28264">
      <w:pPr>
        <w:pStyle w:val="16"/>
        <w:rPr>
          <w:rFonts w:ascii="Arial" w:hAnsi="Arial" w:cs="Arial"/>
          <w:sz w:val="32"/>
          <w:szCs w:val="32"/>
        </w:rPr>
      </w:pPr>
    </w:p>
    <w:p w14:paraId="45C922C2">
      <w:pPr>
        <w:pStyle w:val="16"/>
        <w:rPr>
          <w:rFonts w:ascii="Arial" w:hAnsi="Arial" w:cs="Arial"/>
          <w:sz w:val="32"/>
          <w:szCs w:val="32"/>
        </w:rPr>
      </w:pPr>
    </w:p>
    <w:p w14:paraId="0233B328">
      <w:pPr>
        <w:pStyle w:val="16"/>
        <w:rPr>
          <w:rFonts w:ascii="Arial" w:hAnsi="Arial" w:cs="Arial"/>
          <w:sz w:val="32"/>
          <w:szCs w:val="32"/>
        </w:rPr>
      </w:pPr>
    </w:p>
    <w:p w14:paraId="65E4BC6C">
      <w:pPr>
        <w:pStyle w:val="16"/>
        <w:rPr>
          <w:rFonts w:ascii="Arial" w:hAnsi="Arial" w:cs="Arial"/>
          <w:sz w:val="32"/>
          <w:szCs w:val="32"/>
        </w:rPr>
      </w:pPr>
    </w:p>
    <w:p w14:paraId="7577245D">
      <w:pPr>
        <w:pStyle w:val="16"/>
        <w:rPr>
          <w:rFonts w:ascii="Arial" w:hAnsi="Arial" w:cs="Arial"/>
          <w:sz w:val="32"/>
          <w:szCs w:val="32"/>
        </w:rPr>
      </w:pPr>
    </w:p>
    <w:p w14:paraId="5337F494">
      <w:pPr>
        <w:pStyle w:val="16"/>
        <w:rPr>
          <w:rFonts w:ascii="Arial" w:hAnsi="Arial" w:cs="Arial"/>
          <w:sz w:val="32"/>
          <w:szCs w:val="32"/>
        </w:rPr>
      </w:pPr>
    </w:p>
    <w:p w14:paraId="0A4AE94E">
      <w:pPr>
        <w:pStyle w:val="6"/>
        <w:snapToGrid w:val="0"/>
        <w:jc w:val="center"/>
        <w:rPr>
          <w:rFonts w:ascii="Arial" w:hAnsi="Arial" w:cs="Arial"/>
          <w:sz w:val="32"/>
          <w:szCs w:val="32"/>
        </w:rPr>
      </w:pPr>
    </w:p>
    <w:p w14:paraId="13C7226F">
      <w:pPr>
        <w:pStyle w:val="6"/>
        <w:snapToGrid w:val="0"/>
        <w:jc w:val="center"/>
        <w:rPr>
          <w:rFonts w:ascii="Arial" w:hAnsi="Arial" w:cs="Arial"/>
          <w:sz w:val="32"/>
          <w:szCs w:val="32"/>
        </w:rPr>
      </w:pPr>
    </w:p>
    <w:p w14:paraId="0E6A0AE3">
      <w:pPr>
        <w:spacing w:line="360" w:lineRule="auto"/>
        <w:rPr>
          <w:rFonts w:hint="eastAsia"/>
          <w:bCs/>
          <w:sz w:val="32"/>
          <w:szCs w:val="32"/>
        </w:rPr>
      </w:pPr>
    </w:p>
    <w:p w14:paraId="221DD58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cs="Times New Roman"/>
          <w:b/>
          <w:bCs/>
          <w:kern w:val="44"/>
          <w:sz w:val="32"/>
          <w:szCs w:val="32"/>
          <w:lang w:val="en-US" w:eastAsia="zh-CN" w:bidi="ar-SA"/>
        </w:rPr>
        <w:t>娄底市中心医院突发环境事件综合应急预案编制及技术服务</w:t>
      </w:r>
      <w:r>
        <w:rPr>
          <w:rFonts w:hint="eastAsia"/>
          <w:bCs/>
          <w:sz w:val="32"/>
          <w:szCs w:val="32"/>
          <w:lang w:val="en-US" w:eastAsia="zh-CN"/>
        </w:rPr>
        <w:t>采购项目</w:t>
      </w:r>
    </w:p>
    <w:p w14:paraId="2646632F">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（医院公开挂网</w:t>
      </w:r>
      <w:r>
        <w:rPr>
          <w:rFonts w:hint="eastAsia" w:ascii="Times New Roman" w:hAnsi="Times New Roman" w:eastAsia="宋体" w:cs="Times New Roman"/>
          <w:b/>
          <w:bCs/>
          <w:kern w:val="44"/>
          <w:sz w:val="32"/>
          <w:szCs w:val="32"/>
          <w:lang w:val="en-US" w:eastAsia="zh-CN" w:bidi="ar-SA"/>
        </w:rPr>
        <w:t>）</w:t>
      </w:r>
    </w:p>
    <w:p w14:paraId="2B704EEC">
      <w:pPr>
        <w:spacing w:line="320" w:lineRule="exact"/>
        <w:jc w:val="left"/>
        <w:rPr>
          <w:sz w:val="24"/>
        </w:rPr>
      </w:pPr>
    </w:p>
    <w:p w14:paraId="0354F586">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六</w:t>
      </w:r>
      <w:r>
        <w:rPr>
          <w:rFonts w:hint="eastAsia" w:ascii="宋体" w:hAnsi="宋体" w:cs="宋体"/>
          <w:bCs/>
          <w:sz w:val="32"/>
          <w:szCs w:val="32"/>
        </w:rPr>
        <w:t>年</w:t>
      </w:r>
      <w:r>
        <w:rPr>
          <w:rFonts w:hint="eastAsia" w:ascii="宋体" w:hAnsi="宋体" w:cs="宋体"/>
          <w:bCs/>
          <w:sz w:val="32"/>
          <w:szCs w:val="32"/>
          <w:lang w:val="en-US" w:eastAsia="zh-CN"/>
        </w:rPr>
        <w:t>四</w:t>
      </w:r>
      <w:r>
        <w:rPr>
          <w:rFonts w:hint="eastAsia" w:ascii="宋体" w:hAnsi="宋体" w:cs="宋体"/>
          <w:bCs/>
          <w:sz w:val="32"/>
          <w:szCs w:val="32"/>
        </w:rPr>
        <w:t>月</w:t>
      </w:r>
    </w:p>
    <w:p w14:paraId="43FCB49C">
      <w:pPr>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br w:type="page"/>
      </w:r>
    </w:p>
    <w:p w14:paraId="02230438">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049FCDF5">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娄底市中心医院突发环境事件综合应急预案编制及技术服务</w:t>
      </w:r>
      <w:r>
        <w:rPr>
          <w:rFonts w:hint="eastAsia" w:asciiTheme="minorEastAsia" w:hAnsiTheme="minorEastAsia" w:eastAsiaTheme="minorEastAsia" w:cstheme="minorEastAsia"/>
          <w:bCs/>
          <w:color w:val="auto"/>
          <w:sz w:val="24"/>
          <w:szCs w:val="24"/>
          <w:lang w:val="en-US" w:eastAsia="zh-CN"/>
        </w:rPr>
        <w:t>项目进行医院公开挂网，将事项公告如下：</w:t>
      </w:r>
    </w:p>
    <w:p w14:paraId="33F26BBC">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14:paraId="20A851AA">
      <w:pPr>
        <w:pStyle w:val="6"/>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娄底市中心医院突发环境事件综合应急预案编制及技术服务</w:t>
      </w:r>
      <w:r>
        <w:rPr>
          <w:rFonts w:hint="eastAsia" w:asciiTheme="minorEastAsia" w:hAnsiTheme="minorEastAsia" w:eastAsiaTheme="minorEastAsia" w:cstheme="minorEastAsia"/>
          <w:b w:val="0"/>
          <w:bCs/>
          <w:color w:val="auto"/>
          <w:sz w:val="24"/>
          <w:szCs w:val="24"/>
          <w:lang w:val="en-US" w:eastAsia="zh-CN"/>
        </w:rPr>
        <w:t>项目</w:t>
      </w:r>
    </w:p>
    <w:p w14:paraId="0CDBF21C">
      <w:pPr>
        <w:pStyle w:val="6"/>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14:paraId="7C7C445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bidi="ar-SA"/>
        </w:rPr>
        <w:t>1、医院公开挂网</w:t>
      </w:r>
      <w:r>
        <w:rPr>
          <w:rFonts w:hint="eastAsia" w:asciiTheme="minorEastAsia" w:hAnsiTheme="minorEastAsia" w:eastAsiaTheme="minorEastAsia" w:cstheme="minorEastAsia"/>
          <w:bCs/>
          <w:color w:val="auto"/>
          <w:sz w:val="24"/>
          <w:szCs w:val="24"/>
          <w:lang w:val="en-US" w:eastAsia="zh-CN"/>
        </w:rPr>
        <w:t>，最低评标价法，在满足所有参数的条件下，报价最低者中标，如有多个并列最低价，则由并列最低价投标人再次报价，直至出现最低报价为止。</w:t>
      </w:r>
    </w:p>
    <w:bookmarkEnd w:id="0"/>
    <w:p w14:paraId="0ACEB34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14:paraId="55893B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1F42DD7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14:paraId="0ACB140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14:paraId="21C808E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15D09420">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14:paraId="12B2191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14:paraId="623B858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14:paraId="6B89F27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14:paraId="27C4F67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14:paraId="67F7E3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五、采购人地址和联系方法：</w:t>
      </w:r>
    </w:p>
    <w:p w14:paraId="2BA1D7A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1、采购人名称：娄底市中心医院</w:t>
      </w:r>
    </w:p>
    <w:p w14:paraId="31DB0A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14:paraId="5023AEF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3、采购人地址：娄底市长青中街51号</w:t>
      </w:r>
    </w:p>
    <w:p w14:paraId="0ADD55F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14:paraId="6DD88B5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14:paraId="4EF3F46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14:paraId="6CA551A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1.2、资格评审时，投标人资格条件不符合国家有关规定或者文件要求的，或者拒不按照要求对投标文件进行澄清、说明或补正，或者其说明补正无法证明其为合格投标人的；</w:t>
      </w:r>
    </w:p>
    <w:p w14:paraId="2BB116B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14:paraId="0D3123B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14:paraId="7934304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14:paraId="1C567C2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1.6、投标文件存在弄虚作假或者隐瞒事实，或者未按照文件要求如实提供有关情况和文件，以及证明资料且对投标人有利的，应当否决其投标。被列为中标候选人的，应当取消其中标候选人资格。</w:t>
      </w:r>
    </w:p>
    <w:p w14:paraId="486FB98C">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2、有下列情形之一的，采购人将重新挂网采购：</w:t>
      </w:r>
    </w:p>
    <w:p w14:paraId="420068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14:paraId="0F261BB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2.2、经评标委员会评审后，有效投标人少于3家的。</w:t>
      </w:r>
    </w:p>
    <w:p w14:paraId="6D411BA9">
      <w:pPr>
        <w:pStyle w:val="22"/>
        <w:rPr>
          <w:rFonts w:hint="eastAsia"/>
          <w:lang w:val="en-US" w:eastAsia="zh-CN"/>
        </w:rPr>
      </w:pPr>
    </w:p>
    <w:p w14:paraId="7E250597">
      <w:pPr>
        <w:pStyle w:val="22"/>
        <w:jc w:val="both"/>
        <w:rPr>
          <w:rFonts w:hint="default"/>
          <w:lang w:val="en-US" w:eastAsia="zh-CN"/>
        </w:rPr>
      </w:pPr>
    </w:p>
    <w:p w14:paraId="22CD3DC2">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715EDAE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14:paraId="0F41F978">
      <w:pPr>
        <w:pStyle w:val="22"/>
        <w:rPr>
          <w:rFonts w:hint="eastAsia" w:ascii="宋体" w:hAnsi="宋体" w:cs="宋体"/>
          <w:b/>
          <w:bCs/>
          <w:color w:val="auto"/>
          <w:sz w:val="44"/>
          <w:szCs w:val="44"/>
          <w:lang w:val="en-US" w:eastAsia="zh-CN"/>
        </w:rPr>
      </w:pPr>
    </w:p>
    <w:p w14:paraId="6DFDBEAA">
      <w:pPr>
        <w:pStyle w:val="16"/>
        <w:rPr>
          <w:rFonts w:hint="eastAsia" w:ascii="宋体" w:hAnsi="宋体" w:cs="宋体"/>
          <w:b/>
          <w:bCs/>
          <w:color w:val="auto"/>
          <w:sz w:val="44"/>
          <w:szCs w:val="44"/>
          <w:lang w:val="en-US" w:eastAsia="zh-CN"/>
        </w:rPr>
      </w:pPr>
    </w:p>
    <w:p w14:paraId="30F94F1D">
      <w:pPr>
        <w:rPr>
          <w:rFonts w:hint="eastAsia" w:ascii="宋体" w:hAnsi="宋体" w:cs="宋体"/>
          <w:b/>
          <w:bCs/>
          <w:color w:val="auto"/>
          <w:sz w:val="44"/>
          <w:szCs w:val="44"/>
          <w:lang w:val="en-US" w:eastAsia="zh-CN"/>
        </w:rPr>
      </w:pPr>
    </w:p>
    <w:p w14:paraId="102811BE">
      <w:pPr>
        <w:pStyle w:val="21"/>
        <w:rPr>
          <w:rFonts w:hint="eastAsia"/>
          <w:lang w:val="en-US" w:eastAsia="zh-CN"/>
        </w:rPr>
      </w:pPr>
    </w:p>
    <w:p w14:paraId="04DC7BC4">
      <w:pPr>
        <w:pStyle w:val="2"/>
        <w:rPr>
          <w:rFonts w:hint="eastAsia" w:ascii="宋体" w:hAnsi="宋体" w:cs="宋体"/>
          <w:b/>
          <w:bCs/>
          <w:color w:val="auto"/>
          <w:sz w:val="44"/>
          <w:szCs w:val="44"/>
          <w:lang w:val="en-US" w:eastAsia="zh-CN"/>
        </w:rPr>
      </w:pPr>
    </w:p>
    <w:p w14:paraId="127EFE5C">
      <w:pPr>
        <w:rPr>
          <w:rFonts w:hint="eastAsia" w:ascii="宋体" w:hAnsi="宋体" w:cs="宋体"/>
          <w:b/>
          <w:bCs/>
          <w:color w:val="auto"/>
          <w:sz w:val="44"/>
          <w:szCs w:val="44"/>
          <w:lang w:val="en-US" w:eastAsia="zh-CN"/>
        </w:rPr>
      </w:pPr>
    </w:p>
    <w:p w14:paraId="4A7B14FC">
      <w:pPr>
        <w:rPr>
          <w:rFonts w:hint="eastAsia" w:ascii="宋体" w:hAnsi="宋体" w:cs="宋体"/>
          <w:b/>
          <w:bCs/>
          <w:color w:val="auto"/>
          <w:sz w:val="44"/>
          <w:szCs w:val="44"/>
          <w:lang w:val="en-US" w:eastAsia="zh-CN"/>
        </w:rPr>
      </w:pPr>
    </w:p>
    <w:p w14:paraId="05DE6F3A">
      <w:pPr>
        <w:rPr>
          <w:rFonts w:hint="eastAsia"/>
          <w:lang w:val="en-US" w:eastAsia="zh-CN"/>
        </w:rPr>
      </w:pPr>
    </w:p>
    <w:p w14:paraId="28624900">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736FC09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14:paraId="738C7315">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17"/>
        <w:tblW w:w="7765"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fixed"/>
        <w:tblCellMar>
          <w:top w:w="15" w:type="dxa"/>
          <w:left w:w="15" w:type="dxa"/>
          <w:bottom w:w="15" w:type="dxa"/>
          <w:right w:w="15" w:type="dxa"/>
        </w:tblCellMar>
      </w:tblPr>
      <w:tblGrid>
        <w:gridCol w:w="851"/>
        <w:gridCol w:w="4841"/>
        <w:gridCol w:w="2073"/>
      </w:tblGrid>
      <w:tr w14:paraId="38AB9E0F">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570" w:hRule="atLeast"/>
          <w:jc w:val="center"/>
        </w:trPr>
        <w:tc>
          <w:tcPr>
            <w:tcW w:w="85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79E0CB90">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484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4A50A28">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项目</w:t>
            </w:r>
            <w:r>
              <w:rPr>
                <w:rFonts w:hint="eastAsia" w:asciiTheme="minorEastAsia" w:hAnsiTheme="minorEastAsia" w:eastAsiaTheme="minorEastAsia" w:cstheme="minorEastAsia"/>
                <w:kern w:val="2"/>
                <w:sz w:val="24"/>
                <w:szCs w:val="24"/>
              </w:rPr>
              <w:t>名称</w:t>
            </w:r>
          </w:p>
        </w:tc>
        <w:tc>
          <w:tcPr>
            <w:tcW w:w="2073"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6D78E54A">
            <w:pPr>
              <w:pStyle w:val="1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bookmarkStart w:id="4" w:name="_GoBack"/>
            <w:bookmarkEnd w:id="4"/>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r>
      <w:tr w14:paraId="69DE814A">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481" w:hRule="atLeast"/>
          <w:jc w:val="center"/>
        </w:trPr>
        <w:tc>
          <w:tcPr>
            <w:tcW w:w="85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4508FB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484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17944EF">
            <w:pPr>
              <w:keepNext w:val="0"/>
              <w:keepLines w:val="0"/>
              <w:widowControl/>
              <w:suppressLineNumbers w:val="0"/>
              <w:jc w:val="center"/>
              <w:textAlignment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娄底市中心医院突发环境事件综合应急预案编制及技术服务</w:t>
            </w:r>
          </w:p>
        </w:tc>
        <w:tc>
          <w:tcPr>
            <w:tcW w:w="2073"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14:paraId="19EAF0A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3.7</w:t>
            </w:r>
          </w:p>
        </w:tc>
      </w:tr>
    </w:tbl>
    <w:p w14:paraId="737A1F41">
      <w:pPr>
        <w:spacing w:line="360" w:lineRule="auto"/>
        <w:rPr>
          <w:rFonts w:hint="eastAsia" w:asciiTheme="minorEastAsia" w:hAnsiTheme="minorEastAsia" w:eastAsiaTheme="minorEastAsia" w:cstheme="minorEastAsia"/>
          <w:bCs/>
          <w:color w:val="auto"/>
          <w:kern w:val="0"/>
          <w:sz w:val="24"/>
          <w:szCs w:val="24"/>
          <w:lang w:val="en-US" w:eastAsia="zh-CN" w:bidi="ar-SA"/>
        </w:rPr>
      </w:pPr>
    </w:p>
    <w:p w14:paraId="78C7E4BA">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14:paraId="2EAE5CA4">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14:paraId="33C78225">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二、项目内容及要求（以下内容必须全部响应，否则视为无效投标）</w:t>
      </w:r>
    </w:p>
    <w:p w14:paraId="14BECF8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Theme="minorEastAsia" w:hAnsiTheme="minorEastAsia" w:eastAsiaTheme="minorEastAsia" w:cstheme="minorEastAsia"/>
          <w:b w:val="0"/>
          <w:bCs/>
          <w:color w:val="auto"/>
          <w:kern w:val="0"/>
          <w:sz w:val="24"/>
          <w:szCs w:val="24"/>
          <w:lang w:val="en-US" w:eastAsia="zh-CN" w:bidi="ar-SA"/>
        </w:rPr>
      </w:pPr>
      <w:r>
        <w:rPr>
          <w:rFonts w:hint="eastAsia" w:asciiTheme="minorEastAsia" w:hAnsiTheme="minorEastAsia" w:eastAsiaTheme="minorEastAsia" w:cstheme="minorEastAsia"/>
          <w:b w:val="0"/>
          <w:bCs/>
          <w:color w:val="auto"/>
          <w:kern w:val="0"/>
          <w:sz w:val="24"/>
          <w:szCs w:val="24"/>
          <w:lang w:val="en-US" w:eastAsia="zh-CN" w:bidi="ar-SA"/>
        </w:rPr>
        <w:t>技术服务要求：</w:t>
      </w:r>
    </w:p>
    <w:p w14:paraId="32A9EA22">
      <w:pPr>
        <w:pStyle w:val="11"/>
        <w:tabs>
          <w:tab w:val="left" w:pos="0"/>
        </w:tabs>
        <w:spacing w:line="480" w:lineRule="exact"/>
        <w:ind w:firstLine="480" w:firstLineChars="200"/>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 按照《国务院办公厅关于印发&lt;突发事件应急预案管理办法&gt;的通知》(国办发〔2024〕5号）文件要求，编制覆盖本院全部环境风险单元（重点包括但不限于污水处理站、医疗废物暂存间、危险化学品储存点、辐射设备等）的《娄底市中心医院突发环境事件应急预案》及编制说明，组织专家评审、复审并负责通过环境保护行政主管部门的审查备案。</w:t>
      </w:r>
    </w:p>
    <w:p w14:paraId="42E51D1A">
      <w:pPr>
        <w:pStyle w:val="11"/>
        <w:tabs>
          <w:tab w:val="left" w:pos="0"/>
        </w:tabs>
        <w:spacing w:line="480" w:lineRule="exact"/>
        <w:ind w:firstLine="480" w:firstLineChars="200"/>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2、 自应急预案通过审查备案之日起三年内，为招标人提供医院污水处理站发生突发环境事件现场服务，该期限内招标人如需供应商现场服务，应及时通知（包括电话通知）供应商，供应商承诺在接到招标方通知后30分钟内赶到现场免费提供咨询、协调、处理等服务。</w:t>
      </w:r>
    </w:p>
    <w:p w14:paraId="6FC8E73F">
      <w:pPr>
        <w:pStyle w:val="11"/>
        <w:tabs>
          <w:tab w:val="left" w:pos="0"/>
        </w:tabs>
        <w:spacing w:line="480" w:lineRule="exact"/>
        <w:ind w:firstLine="480" w:firstLineChars="200"/>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 自应急预案通过审查备案之日起三年内，协助招标人联系具备资质的应急监测单位。招标人应确保所推荐的监测单位及其提供的应急监测服务符合国家相关标准，并对所推荐监测单位出具的监测数据的真实性、合法性承担连带责任。</w:t>
      </w:r>
    </w:p>
    <w:p w14:paraId="4ABE6854">
      <w:pPr>
        <w:pStyle w:val="11"/>
        <w:tabs>
          <w:tab w:val="left" w:pos="0"/>
        </w:tabs>
        <w:spacing w:line="480" w:lineRule="exact"/>
        <w:ind w:firstLine="480" w:firstLineChars="200"/>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4、供应商须于本合同签订生效后20个工作日内完成符合“国办发〔2024〕5号”文件要求的报告编写并取得通过环保主管部门审查的备案登记表，并在该期限内向招标方提交合法有效的突发环境事件应急预案文本6份、完整的备案文件2份及全套可编辑的电子文档（含Word, PDF格式）一份。</w:t>
      </w:r>
    </w:p>
    <w:p w14:paraId="6A62A7FC">
      <w:pPr>
        <w:pStyle w:val="11"/>
        <w:tabs>
          <w:tab w:val="left" w:pos="0"/>
        </w:tabs>
        <w:spacing w:line="480" w:lineRule="exact"/>
        <w:ind w:firstLine="480" w:firstLineChars="200"/>
        <w:jc w:val="left"/>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5、 应急演练：供应商负责策划并编制应急演练方案，在招标方协助下，共同组织完成一次桌面推演或实战演练。演练所涉及的外部协调、器材消耗、参演人员补助等直接费用由招标方承担。供应商应提前向招标方提交演练方案及费用预算，经招标方书面确认后执行。</w:t>
      </w:r>
    </w:p>
    <w:p w14:paraId="244B84B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default" w:asciiTheme="minorEastAsia" w:hAnsiTheme="minorEastAsia" w:eastAsiaTheme="minorEastAsia" w:cstheme="minorEastAsia"/>
          <w:b w:val="0"/>
          <w:bCs/>
          <w:color w:val="auto"/>
          <w:kern w:val="0"/>
          <w:sz w:val="24"/>
          <w:szCs w:val="24"/>
          <w:lang w:val="en-US" w:eastAsia="zh-CN" w:bidi="ar-SA"/>
        </w:rPr>
      </w:pPr>
    </w:p>
    <w:p w14:paraId="002EA66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14:paraId="1190B9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14:paraId="3AE7D2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如按法律规定提供证件）、生产厂家营业执照（如按法律规定需提供）、生产许可证（如按法律规定需提供）、产品注册证（如按法律规定需提供）；</w:t>
      </w:r>
    </w:p>
    <w:p w14:paraId="68C94A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14:paraId="7A3E69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3CBF51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14:paraId="081DCE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14:paraId="39B23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14:paraId="19A383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14:paraId="5A92BC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14:paraId="737229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08BAD364">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p>
    <w:p w14:paraId="30A737BB">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14:paraId="0F06641C">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     合同编号：</w:t>
      </w:r>
    </w:p>
    <w:p w14:paraId="60DDFF6A">
      <w:pPr>
        <w:keepNext w:val="0"/>
        <w:keepLines w:val="0"/>
        <w:pageBreakBefore w:val="0"/>
        <w:widowControl w:val="0"/>
        <w:wordWrap/>
        <w:overflowPunct/>
        <w:topLinePunct w:val="0"/>
        <w:bidi w:val="0"/>
        <w:spacing w:line="480" w:lineRule="exact"/>
        <w:jc w:val="center"/>
        <w:rPr>
          <w:rFonts w:hint="eastAsia" w:ascii="黑体" w:hAnsi="黑体" w:eastAsia="黑体" w:cs="黑体"/>
          <w:b/>
          <w:bCs/>
          <w:color w:val="auto"/>
          <w:sz w:val="36"/>
          <w:szCs w:val="36"/>
          <w:highlight w:val="none"/>
          <w:lang w:val="en-US" w:eastAsia="zh-CN"/>
        </w:rPr>
      </w:pPr>
      <w:r>
        <w:rPr>
          <w:rFonts w:hint="eastAsia" w:ascii="黑体" w:hAnsi="黑体" w:eastAsia="黑体" w:cs="黑体"/>
          <w:b/>
          <w:bCs/>
          <w:color w:val="auto"/>
          <w:kern w:val="0"/>
          <w:sz w:val="36"/>
          <w:szCs w:val="36"/>
          <w:highlight w:val="none"/>
          <w:lang w:val="en-US" w:eastAsia="zh-CN" w:bidi="ar"/>
        </w:rPr>
        <w:t>娄底市中心医院</w:t>
      </w:r>
      <w:r>
        <w:rPr>
          <w:rStyle w:val="20"/>
          <w:rFonts w:hint="eastAsia" w:ascii="黑体" w:hAnsi="黑体" w:eastAsia="黑体" w:cs="黑体"/>
          <w:b/>
          <w:bCs/>
          <w:color w:val="auto"/>
          <w:kern w:val="0"/>
          <w:sz w:val="36"/>
          <w:szCs w:val="36"/>
          <w:highlight w:val="none"/>
          <w:lang w:val="en-US" w:eastAsia="zh-CN" w:bidi="ar"/>
        </w:rPr>
        <w:t>突发环境事件综合应急预案</w:t>
      </w:r>
      <w:r>
        <w:rPr>
          <w:rFonts w:hint="eastAsia" w:ascii="黑体" w:hAnsi="黑体" w:eastAsia="黑体" w:cs="黑体"/>
          <w:b/>
          <w:bCs/>
          <w:color w:val="auto"/>
          <w:kern w:val="0"/>
          <w:sz w:val="36"/>
          <w:szCs w:val="36"/>
          <w:highlight w:val="none"/>
          <w:lang w:val="en-US" w:eastAsia="zh-CN" w:bidi="ar"/>
        </w:rPr>
        <w:t>编制及</w:t>
      </w:r>
      <w:r>
        <w:rPr>
          <w:rFonts w:hint="eastAsia" w:ascii="黑体" w:hAnsi="黑体" w:eastAsia="黑体" w:cs="黑体"/>
          <w:b/>
          <w:bCs/>
          <w:color w:val="auto"/>
          <w:sz w:val="36"/>
          <w:szCs w:val="36"/>
          <w:highlight w:val="none"/>
          <w:lang w:val="en-US" w:eastAsia="zh-CN"/>
        </w:rPr>
        <w:t>技术服务合同</w:t>
      </w:r>
    </w:p>
    <w:p w14:paraId="5F245BBA">
      <w:pPr>
        <w:rPr>
          <w:rFonts w:hint="eastAsia"/>
          <w:color w:val="auto"/>
          <w:highlight w:val="none"/>
          <w:lang w:val="en-US" w:eastAsia="zh-CN"/>
        </w:rPr>
      </w:pPr>
    </w:p>
    <w:p w14:paraId="5A1F18F2">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lang w:eastAsia="zh-CN"/>
        </w:rPr>
      </w:pPr>
      <w:r>
        <w:rPr>
          <w:rFonts w:hint="eastAsia" w:ascii="宋体" w:hAnsi="宋体" w:eastAsia="宋体" w:cs="宋体"/>
          <w:color w:val="auto"/>
          <w:spacing w:val="0"/>
          <w:sz w:val="24"/>
          <w:szCs w:val="24"/>
          <w:highlight w:val="none"/>
        </w:rPr>
        <w:t>甲方：</w:t>
      </w:r>
      <w:r>
        <w:rPr>
          <w:rFonts w:hint="eastAsia" w:ascii="宋体" w:hAnsi="宋体" w:eastAsia="宋体" w:cs="宋体"/>
          <w:color w:val="auto"/>
          <w:spacing w:val="0"/>
          <w:sz w:val="24"/>
          <w:szCs w:val="24"/>
          <w:highlight w:val="none"/>
          <w:lang w:val="en-US" w:eastAsia="zh-CN"/>
        </w:rPr>
        <w:t>娄底市中心医院</w:t>
      </w:r>
    </w:p>
    <w:p w14:paraId="539D6DDC">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法定代表人：</w:t>
      </w:r>
      <w:r>
        <w:rPr>
          <w:rFonts w:hint="eastAsia" w:ascii="宋体" w:hAnsi="宋体" w:eastAsia="宋体" w:cs="宋体"/>
          <w:color w:val="auto"/>
          <w:spacing w:val="0"/>
          <w:sz w:val="24"/>
          <w:szCs w:val="24"/>
          <w:highlight w:val="none"/>
          <w:lang w:eastAsia="zh-CN"/>
        </w:rPr>
        <w:t>杨吉军</w:t>
      </w:r>
    </w:p>
    <w:p w14:paraId="2421546D">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统一社会信用代码：12431300447162073W</w:t>
      </w:r>
    </w:p>
    <w:p w14:paraId="466A117B">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地址：湖南省娄底市娄星区长青中街51号</w:t>
      </w:r>
    </w:p>
    <w:p w14:paraId="512016E3">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rPr>
      </w:pPr>
    </w:p>
    <w:p w14:paraId="4F13CBB9">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乙方：</w:t>
      </w:r>
    </w:p>
    <w:p w14:paraId="549120D5">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法定代表人：</w:t>
      </w:r>
    </w:p>
    <w:p w14:paraId="7F2EBC16">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统一社会信用代码：</w:t>
      </w:r>
    </w:p>
    <w:p w14:paraId="4B168E21">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rPr>
      </w:pPr>
      <w:r>
        <w:rPr>
          <w:rFonts w:hint="eastAsia" w:ascii="宋体" w:hAnsi="宋体" w:eastAsia="宋体" w:cs="宋体"/>
          <w:color w:val="auto"/>
          <w:spacing w:val="0"/>
          <w:sz w:val="24"/>
          <w:szCs w:val="24"/>
          <w:highlight w:val="none"/>
        </w:rPr>
        <w:t>地址：</w:t>
      </w:r>
    </w:p>
    <w:p w14:paraId="4CFEBA66">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color w:val="auto"/>
          <w:spacing w:val="0"/>
          <w:sz w:val="24"/>
          <w:szCs w:val="24"/>
          <w:highlight w:val="none"/>
        </w:rPr>
      </w:pPr>
    </w:p>
    <w:p w14:paraId="0D14061D">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甲方通过</w:t>
      </w:r>
      <w:r>
        <w:rPr>
          <w:rFonts w:hint="eastAsia" w:ascii="宋体" w:hAnsi="宋体" w:eastAsia="宋体" w:cs="宋体"/>
          <w:b w:val="0"/>
          <w:i w:val="0"/>
          <w:strike w:val="0"/>
          <w:color w:val="0000FF"/>
          <w:spacing w:val="0"/>
          <w:sz w:val="24"/>
          <w:szCs w:val="24"/>
          <w:highlight w:val="none"/>
          <w:u w:val="single"/>
          <w:lang w:val="en-US" w:eastAsia="zh-CN"/>
        </w:rPr>
        <w:t xml:space="preserve"> 医院公开挂网 </w:t>
      </w:r>
      <w:r>
        <w:rPr>
          <w:rFonts w:hint="eastAsia" w:ascii="宋体" w:hAnsi="宋体" w:eastAsia="宋体" w:cs="宋体"/>
          <w:b w:val="0"/>
          <w:i w:val="0"/>
          <w:strike w:val="0"/>
          <w:color w:val="0000FF"/>
          <w:spacing w:val="0"/>
          <w:sz w:val="24"/>
          <w:szCs w:val="24"/>
          <w:highlight w:val="none"/>
          <w:u w:val="none"/>
          <w:lang w:val="en-US" w:eastAsia="zh-CN"/>
        </w:rPr>
        <w:t>方式采购</w:t>
      </w:r>
      <w:r>
        <w:rPr>
          <w:rFonts w:hint="eastAsia" w:ascii="宋体" w:hAnsi="宋体" w:eastAsia="宋体" w:cs="宋体"/>
          <w:b w:val="0"/>
          <w:i w:val="0"/>
          <w:strike w:val="0"/>
          <w:color w:val="0000FF"/>
          <w:spacing w:val="0"/>
          <w:sz w:val="24"/>
          <w:szCs w:val="24"/>
          <w:highlight w:val="none"/>
          <w:u w:val="single"/>
          <w:lang w:val="en-US" w:eastAsia="zh-CN"/>
        </w:rPr>
        <w:t>突发环境事件综合应急预案编制及技术服务</w:t>
      </w:r>
      <w:r>
        <w:rPr>
          <w:rFonts w:hint="eastAsia" w:ascii="宋体" w:hAnsi="宋体" w:eastAsia="宋体" w:cs="宋体"/>
          <w:b w:val="0"/>
          <w:i w:val="0"/>
          <w:strike w:val="0"/>
          <w:color w:val="0000FF"/>
          <w:spacing w:val="0"/>
          <w:sz w:val="24"/>
          <w:szCs w:val="24"/>
          <w:highlight w:val="none"/>
          <w:u w:val="none"/>
          <w:lang w:val="en-US" w:eastAsia="zh-CN"/>
        </w:rPr>
        <w:t>，乙方为中标/中选供应商</w:t>
      </w:r>
      <w:r>
        <w:rPr>
          <w:rFonts w:hint="eastAsia" w:ascii="宋体" w:hAnsi="宋体" w:eastAsia="宋体" w:cs="宋体"/>
          <w:b w:val="0"/>
          <w:i w:val="0"/>
          <w:strike w:val="0"/>
          <w:color w:val="auto"/>
          <w:spacing w:val="0"/>
          <w:sz w:val="24"/>
          <w:szCs w:val="24"/>
          <w:highlight w:val="none"/>
          <w:u w:val="none"/>
          <w:lang w:val="en-US" w:eastAsia="zh-CN"/>
        </w:rPr>
        <w:t>。根据《中华人民共和国民法典》的规定，甲乙双方在真实、充分表达各自意愿的基础上，就甲方委托乙方编制、评审和备案突发环境事件应急预案事宜友好协商一致，自愿签订本技术服务合同。</w:t>
      </w:r>
    </w:p>
    <w:p w14:paraId="4F40EA62">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auto"/>
          <w:spacing w:val="0"/>
          <w:sz w:val="24"/>
          <w:szCs w:val="24"/>
          <w:highlight w:val="none"/>
          <w:u w:val="none"/>
          <w:lang w:val="en-US" w:eastAsia="zh-CN"/>
        </w:rPr>
      </w:pPr>
      <w:r>
        <w:rPr>
          <w:rFonts w:hint="eastAsia" w:ascii="宋体" w:hAnsi="宋体" w:eastAsia="宋体" w:cs="宋体"/>
          <w:b/>
          <w:bCs/>
          <w:i w:val="0"/>
          <w:strike w:val="0"/>
          <w:color w:val="auto"/>
          <w:spacing w:val="0"/>
          <w:sz w:val="24"/>
          <w:szCs w:val="24"/>
          <w:highlight w:val="none"/>
          <w:u w:val="none"/>
          <w:lang w:val="en-US" w:eastAsia="zh-CN"/>
        </w:rPr>
        <w:t>第一条 服务内容及期限</w:t>
      </w:r>
    </w:p>
    <w:p w14:paraId="51B36659">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1.1 乙方按照《国务院办公厅关于印发&lt;突发事件应急预案管理办法&gt;的通知》(国办发〔2024〕5号）文件要求，编制覆盖本院全部环境风险单元（重点包括但不限于污水处理站、医疗废物暂存间、危险化学品储存点、辐射设备等）的《娄底市中心医院突发环境事件应急预案》及编制说明，</w:t>
      </w:r>
      <w:r>
        <w:rPr>
          <w:rFonts w:hint="eastAsia" w:ascii="宋体" w:hAnsi="宋体" w:eastAsia="宋体" w:cs="宋体"/>
          <w:b w:val="0"/>
          <w:i w:val="0"/>
          <w:strike w:val="0"/>
          <w:color w:val="FF0000"/>
          <w:spacing w:val="0"/>
          <w:sz w:val="24"/>
          <w:szCs w:val="24"/>
          <w:highlight w:val="none"/>
          <w:u w:val="none"/>
          <w:lang w:val="en-US" w:eastAsia="zh-CN"/>
        </w:rPr>
        <w:t>组织</w:t>
      </w:r>
      <w:r>
        <w:rPr>
          <w:rFonts w:hint="eastAsia" w:ascii="宋体" w:hAnsi="宋体" w:eastAsia="宋体" w:cs="宋体"/>
          <w:b w:val="0"/>
          <w:i w:val="0"/>
          <w:strike w:val="0"/>
          <w:color w:val="auto"/>
          <w:spacing w:val="0"/>
          <w:sz w:val="24"/>
          <w:szCs w:val="24"/>
          <w:highlight w:val="none"/>
          <w:u w:val="none"/>
          <w:lang w:val="en-US" w:eastAsia="zh-CN"/>
        </w:rPr>
        <w:t>专家评审</w:t>
      </w:r>
      <w:r>
        <w:rPr>
          <w:rFonts w:hint="eastAsia" w:ascii="宋体" w:hAnsi="宋体" w:eastAsia="宋体" w:cs="宋体"/>
          <w:b w:val="0"/>
          <w:i w:val="0"/>
          <w:strike w:val="0"/>
          <w:color w:val="FF0000"/>
          <w:spacing w:val="0"/>
          <w:sz w:val="24"/>
          <w:szCs w:val="24"/>
          <w:highlight w:val="none"/>
          <w:u w:val="none"/>
          <w:lang w:val="en-US" w:eastAsia="zh-CN"/>
        </w:rPr>
        <w:t>、复审</w:t>
      </w:r>
      <w:r>
        <w:rPr>
          <w:rFonts w:hint="eastAsia" w:ascii="宋体" w:hAnsi="宋体" w:eastAsia="宋体" w:cs="宋体"/>
          <w:b w:val="0"/>
          <w:i w:val="0"/>
          <w:strike w:val="0"/>
          <w:color w:val="auto"/>
          <w:spacing w:val="0"/>
          <w:sz w:val="24"/>
          <w:szCs w:val="24"/>
          <w:highlight w:val="none"/>
          <w:u w:val="none"/>
          <w:lang w:val="en-US" w:eastAsia="zh-CN"/>
        </w:rPr>
        <w:t>并负责通过环境保护行政主管部门的审查备案。</w:t>
      </w:r>
    </w:p>
    <w:p w14:paraId="33413272">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1.2 乙方自应急预案通过审查备案之日起三年内，为甲方提供医院污水处理站发生突发环境事件现场服务，该期限内甲方如需乙方现场服务，应及时通知（包括电话通知）乙方，乙方承诺在接到甲方通知后30分钟内赶到现场免费提供咨询、协调、处理等服务。</w:t>
      </w:r>
    </w:p>
    <w:p w14:paraId="4C1CED6C">
      <w:pPr>
        <w:keepNext w:val="0"/>
        <w:keepLines w:val="0"/>
        <w:pageBreakBefore w:val="0"/>
        <w:widowControl w:val="0"/>
        <w:wordWrap/>
        <w:overflowPunct/>
        <w:topLinePunct w:val="0"/>
        <w:bidi w:val="0"/>
        <w:spacing w:line="480" w:lineRule="exact"/>
        <w:ind w:firstLine="480" w:firstLineChars="200"/>
        <w:jc w:val="both"/>
        <w:rPr>
          <w:rFonts w:hint="default"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1.3 乙方自应急预案通过审查备案之日起三年内，协助甲方联系具备资质的应急监测单位。乙方应确保所推荐的监测单位及其提供的应急监测服务符合国家相关标准，并</w:t>
      </w:r>
      <w:r>
        <w:rPr>
          <w:rFonts w:hint="eastAsia" w:ascii="宋体" w:hAnsi="宋体" w:eastAsia="宋体" w:cs="宋体"/>
          <w:b w:val="0"/>
          <w:i w:val="0"/>
          <w:strike w:val="0"/>
          <w:color w:val="0000FF"/>
          <w:spacing w:val="0"/>
          <w:sz w:val="24"/>
          <w:szCs w:val="24"/>
          <w:highlight w:val="none"/>
          <w:u w:val="none"/>
          <w:lang w:val="en-US" w:eastAsia="zh-CN"/>
        </w:rPr>
        <w:t>对所推荐监测单位出具的</w:t>
      </w:r>
      <w:r>
        <w:rPr>
          <w:rFonts w:hint="eastAsia" w:ascii="宋体" w:hAnsi="宋体" w:eastAsia="宋体" w:cs="宋体"/>
          <w:b w:val="0"/>
          <w:i w:val="0"/>
          <w:strike w:val="0"/>
          <w:color w:val="auto"/>
          <w:spacing w:val="0"/>
          <w:sz w:val="24"/>
          <w:szCs w:val="24"/>
          <w:highlight w:val="none"/>
          <w:u w:val="none"/>
          <w:lang w:val="en-US" w:eastAsia="zh-CN"/>
        </w:rPr>
        <w:t>监测数据的</w:t>
      </w:r>
      <w:r>
        <w:rPr>
          <w:rFonts w:hint="eastAsia" w:ascii="宋体" w:hAnsi="宋体" w:eastAsia="宋体" w:cs="宋体"/>
          <w:b w:val="0"/>
          <w:i w:val="0"/>
          <w:strike w:val="0"/>
          <w:color w:val="FF0000"/>
          <w:spacing w:val="0"/>
          <w:sz w:val="24"/>
          <w:szCs w:val="24"/>
          <w:highlight w:val="none"/>
          <w:u w:val="none"/>
          <w:lang w:val="en-US" w:eastAsia="zh-CN"/>
        </w:rPr>
        <w:t>真实性、合法性</w:t>
      </w:r>
      <w:r>
        <w:rPr>
          <w:rFonts w:hint="eastAsia" w:ascii="宋体" w:hAnsi="宋体" w:eastAsia="宋体" w:cs="宋体"/>
          <w:b w:val="0"/>
          <w:i w:val="0"/>
          <w:strike w:val="0"/>
          <w:color w:val="0000FF"/>
          <w:spacing w:val="0"/>
          <w:sz w:val="24"/>
          <w:szCs w:val="24"/>
          <w:highlight w:val="none"/>
          <w:u w:val="none"/>
          <w:lang w:val="en-US" w:eastAsia="zh-CN"/>
        </w:rPr>
        <w:t>承担连带</w:t>
      </w:r>
      <w:r>
        <w:rPr>
          <w:rFonts w:hint="eastAsia" w:ascii="宋体" w:hAnsi="宋体" w:eastAsia="宋体" w:cs="宋体"/>
          <w:b w:val="0"/>
          <w:i w:val="0"/>
          <w:strike w:val="0"/>
          <w:color w:val="auto"/>
          <w:spacing w:val="0"/>
          <w:sz w:val="24"/>
          <w:szCs w:val="24"/>
          <w:highlight w:val="none"/>
          <w:u w:val="none"/>
          <w:lang w:val="en-US" w:eastAsia="zh-CN"/>
        </w:rPr>
        <w:t>责任。</w:t>
      </w:r>
    </w:p>
    <w:p w14:paraId="4C9BED2F">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1.4 乙方须于本合同签订生效后20个工作日内完成符合“国办发〔2024〕5号”文件要求的报告编写并取得通过环保主管部门审查的备案登记表，并在该期限内向甲方提交合法有效的突发环境事件应急预案文本6份、完整的备案文件2份及全套可编辑的电子文档（含Word, PDF格式）一份。</w:t>
      </w:r>
    </w:p>
    <w:p w14:paraId="3CE6D7D8">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1.5 应急演练：乙方负责策划并编制应急演练方案，在甲方协助下，共同组织完成一次桌面推演或实战演练。演练所涉及的外部协调、器材消耗、参演人员补助等直接费用由甲方承担。乙方应提前向甲方提交演练方案及费用预算，经甲方书面确认后执行。</w:t>
      </w:r>
    </w:p>
    <w:p w14:paraId="6ACFD4D4">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auto"/>
          <w:spacing w:val="0"/>
          <w:sz w:val="24"/>
          <w:szCs w:val="24"/>
          <w:highlight w:val="none"/>
          <w:u w:val="none"/>
          <w:lang w:val="en-US" w:eastAsia="zh-CN"/>
        </w:rPr>
      </w:pPr>
      <w:r>
        <w:rPr>
          <w:rFonts w:hint="eastAsia" w:ascii="宋体" w:hAnsi="宋体" w:eastAsia="宋体" w:cs="宋体"/>
          <w:b/>
          <w:bCs/>
          <w:i w:val="0"/>
          <w:strike w:val="0"/>
          <w:color w:val="auto"/>
          <w:spacing w:val="0"/>
          <w:sz w:val="24"/>
          <w:szCs w:val="24"/>
          <w:highlight w:val="none"/>
          <w:u w:val="none"/>
          <w:lang w:val="en-US" w:eastAsia="zh-CN"/>
        </w:rPr>
        <w:t>第二条 甲方责任</w:t>
      </w:r>
    </w:p>
    <w:p w14:paraId="42B0F593">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2.1 及时向乙方提供编制预案所必需的、真实的项目基础资料，并对资料的准确性负责。</w:t>
      </w:r>
    </w:p>
    <w:p w14:paraId="0F03643C">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2.2 指定专人协助乙方进行现场勘查、资料收集、上报及评审应急预案。</w:t>
      </w:r>
    </w:p>
    <w:p w14:paraId="59798FF1">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2.3 按照本合同第四条的约定，及时支付合同款项。</w:t>
      </w:r>
    </w:p>
    <w:p w14:paraId="76D1DB9A">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auto"/>
          <w:spacing w:val="0"/>
          <w:sz w:val="24"/>
          <w:szCs w:val="24"/>
          <w:highlight w:val="none"/>
          <w:u w:val="none"/>
          <w:lang w:val="en-US" w:eastAsia="zh-CN"/>
        </w:rPr>
      </w:pPr>
      <w:r>
        <w:rPr>
          <w:rFonts w:hint="eastAsia" w:ascii="宋体" w:hAnsi="宋体" w:eastAsia="宋体" w:cs="宋体"/>
          <w:b/>
          <w:bCs/>
          <w:i w:val="0"/>
          <w:strike w:val="0"/>
          <w:color w:val="auto"/>
          <w:spacing w:val="0"/>
          <w:sz w:val="24"/>
          <w:szCs w:val="24"/>
          <w:highlight w:val="none"/>
          <w:u w:val="none"/>
          <w:lang w:val="en-US" w:eastAsia="zh-CN"/>
        </w:rPr>
        <w:t>第三条 乙方责任</w:t>
      </w:r>
    </w:p>
    <w:p w14:paraId="0EF5D9A7">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3.1 组织专家到甲方现场搜集甲方相关资料，按照国家有关法律法规、技术标准及地方有关规定，根据工程内容，结合该项目条件，开展编制工作，并对最终提交的《应急预案》的合法性、科学性、实用性和可操作性承担全部责任。</w:t>
      </w:r>
      <w:r>
        <w:rPr>
          <w:rFonts w:hint="eastAsia" w:ascii="宋体" w:hAnsi="宋体" w:eastAsia="宋体" w:cs="宋体"/>
          <w:b w:val="0"/>
          <w:bCs w:val="0"/>
          <w:i w:val="0"/>
          <w:strike w:val="0"/>
          <w:color w:val="0000FF"/>
          <w:spacing w:val="0"/>
          <w:sz w:val="24"/>
          <w:szCs w:val="24"/>
          <w:highlight w:val="none"/>
          <w:u w:val="none"/>
          <w:lang w:val="en-US" w:eastAsia="zh-CN"/>
        </w:rPr>
        <w:t>如甲方因乙方提供的服务或乙方提供的预案内容存在缺陷等原因涉及纠纷、诉讼或被处以行政处罚，由乙方承担甲方因纠纷、诉讼、罚款等造成的全部经济损失。</w:t>
      </w:r>
    </w:p>
    <w:p w14:paraId="2169AD73">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3.2 指派工作人员在现场勘查时应严格遵守安全生产规章制度，采取必要的安全保障措施。乙方（包括指派工作人员）在履行本合同中给甲方、乙方（包括指派工作人员）、第三方造成的人身、财产等损失，均由乙方承担全部经济赔偿和法律责任。</w:t>
      </w:r>
    </w:p>
    <w:p w14:paraId="6BB941E8">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3.3 对履行本合同获知的甲方各类技术资料、商业秘密等全部信息严格保密，除因履行本合同需要向相关行政主管部门披露外，不得向任意第三方泄露，否则乙方承担甲方由此造成的全部经济损失。乙方保密义务不因本合同终止而终止。</w:t>
      </w:r>
    </w:p>
    <w:p w14:paraId="792B4DA4">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bCs w:val="0"/>
          <w:i w:val="0"/>
          <w:strike w:val="0"/>
          <w:color w:val="auto"/>
          <w:spacing w:val="0"/>
          <w:sz w:val="24"/>
          <w:szCs w:val="24"/>
          <w:highlight w:val="none"/>
          <w:u w:val="none"/>
          <w:lang w:val="en-US" w:eastAsia="zh-CN"/>
        </w:rPr>
      </w:pPr>
      <w:r>
        <w:rPr>
          <w:rFonts w:hint="eastAsia" w:ascii="宋体" w:hAnsi="宋体" w:eastAsia="宋体" w:cs="宋体"/>
          <w:b w:val="0"/>
          <w:bCs w:val="0"/>
          <w:i w:val="0"/>
          <w:strike w:val="0"/>
          <w:color w:val="auto"/>
          <w:spacing w:val="0"/>
          <w:sz w:val="24"/>
          <w:szCs w:val="24"/>
          <w:highlight w:val="none"/>
          <w:u w:val="none"/>
          <w:lang w:val="en-US" w:eastAsia="zh-CN"/>
        </w:rPr>
        <w:t>3.4 乙方为本合同履行过程中所产生的全部工作成果（包括但不限于《应急预案》文本、风险评估报告、现场调查记录、数据分析文件等）</w:t>
      </w:r>
      <w:r>
        <w:rPr>
          <w:rFonts w:hint="eastAsia" w:ascii="宋体" w:hAnsi="宋体" w:eastAsia="宋体" w:cs="宋体"/>
          <w:b w:val="0"/>
          <w:bCs w:val="0"/>
          <w:i w:val="0"/>
          <w:strike w:val="0"/>
          <w:color w:val="FF0000"/>
          <w:spacing w:val="0"/>
          <w:sz w:val="24"/>
          <w:szCs w:val="24"/>
          <w:highlight w:val="none"/>
          <w:u w:val="none"/>
          <w:lang w:val="en-US" w:eastAsia="zh-CN"/>
        </w:rPr>
        <w:t>归乙方</w:t>
      </w:r>
      <w:r>
        <w:rPr>
          <w:rFonts w:hint="eastAsia" w:ascii="宋体" w:hAnsi="宋体" w:eastAsia="宋体" w:cs="宋体"/>
          <w:b w:val="0"/>
          <w:bCs w:val="0"/>
          <w:i w:val="0"/>
          <w:strike w:val="0"/>
          <w:color w:val="auto"/>
          <w:spacing w:val="0"/>
          <w:sz w:val="24"/>
          <w:szCs w:val="24"/>
          <w:highlight w:val="none"/>
          <w:u w:val="none"/>
          <w:lang w:val="en-US" w:eastAsia="zh-CN"/>
        </w:rPr>
        <w:t>，</w:t>
      </w:r>
      <w:r>
        <w:rPr>
          <w:rFonts w:hint="eastAsia" w:ascii="宋体" w:hAnsi="宋体" w:eastAsia="宋体" w:cs="宋体"/>
          <w:b w:val="0"/>
          <w:bCs w:val="0"/>
          <w:i w:val="0"/>
          <w:strike w:val="0"/>
          <w:color w:val="FF0000"/>
          <w:spacing w:val="0"/>
          <w:sz w:val="24"/>
          <w:szCs w:val="24"/>
          <w:highlight w:val="none"/>
          <w:u w:val="none"/>
          <w:lang w:val="en-US" w:eastAsia="zh-CN"/>
        </w:rPr>
        <w:t>甲方享有</w:t>
      </w:r>
      <w:r>
        <w:rPr>
          <w:rFonts w:hint="eastAsia" w:ascii="宋体" w:hAnsi="宋体" w:eastAsia="宋体" w:cs="宋体"/>
          <w:b w:val="0"/>
          <w:bCs w:val="0"/>
          <w:i w:val="0"/>
          <w:strike w:val="0"/>
          <w:color w:val="auto"/>
          <w:spacing w:val="0"/>
          <w:sz w:val="24"/>
          <w:szCs w:val="24"/>
          <w:highlight w:val="none"/>
          <w:u w:val="none"/>
          <w:lang w:val="en-US" w:eastAsia="zh-CN"/>
        </w:rPr>
        <w:t>在本单位范围内永久、无偿使用的权利。未经甲方书面同意，乙方不得将前述工作成果用于任何其他目的或提供给任何第三方。</w:t>
      </w:r>
    </w:p>
    <w:p w14:paraId="59134332">
      <w:pPr>
        <w:keepNext w:val="0"/>
        <w:keepLines w:val="0"/>
        <w:pageBreakBefore w:val="0"/>
        <w:widowControl w:val="0"/>
        <w:wordWrap/>
        <w:overflowPunct/>
        <w:topLinePunct w:val="0"/>
        <w:bidi w:val="0"/>
        <w:spacing w:line="480" w:lineRule="exact"/>
        <w:ind w:firstLine="480" w:firstLineChars="200"/>
        <w:jc w:val="both"/>
        <w:rPr>
          <w:rFonts w:hint="default"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bCs w:val="0"/>
          <w:i w:val="0"/>
          <w:strike w:val="0"/>
          <w:color w:val="auto"/>
          <w:spacing w:val="0"/>
          <w:sz w:val="24"/>
          <w:szCs w:val="24"/>
          <w:highlight w:val="none"/>
          <w:u w:val="none"/>
          <w:lang w:val="en-US" w:eastAsia="zh-CN"/>
        </w:rPr>
        <w:t xml:space="preserve">3.5 </w:t>
      </w:r>
      <w:r>
        <w:rPr>
          <w:rFonts w:hint="eastAsia" w:ascii="宋体" w:hAnsi="宋体" w:eastAsia="宋体" w:cs="宋体"/>
          <w:b w:val="0"/>
          <w:bCs w:val="0"/>
          <w:i w:val="0"/>
          <w:strike w:val="0"/>
          <w:color w:val="0000FF"/>
          <w:spacing w:val="0"/>
          <w:sz w:val="24"/>
          <w:szCs w:val="24"/>
          <w:highlight w:val="none"/>
          <w:u w:val="none"/>
          <w:lang w:val="en-US" w:eastAsia="zh-CN"/>
        </w:rPr>
        <w:t>甲方</w:t>
      </w:r>
      <w:r>
        <w:rPr>
          <w:rFonts w:hint="eastAsia" w:ascii="宋体" w:hAnsi="宋体" w:eastAsia="宋体" w:cs="宋体"/>
          <w:b w:val="0"/>
          <w:i w:val="0"/>
          <w:strike w:val="0"/>
          <w:color w:val="0000FF"/>
          <w:spacing w:val="0"/>
          <w:sz w:val="24"/>
          <w:szCs w:val="24"/>
          <w:highlight w:val="none"/>
          <w:u w:val="none"/>
          <w:lang w:val="en-US" w:eastAsia="zh-CN"/>
        </w:rPr>
        <w:t>因乙方推荐的监测单位所出具的监测数据问题</w:t>
      </w:r>
      <w:r>
        <w:rPr>
          <w:rFonts w:hint="eastAsia" w:ascii="宋体" w:hAnsi="宋体" w:eastAsia="宋体" w:cs="宋体"/>
          <w:b w:val="0"/>
          <w:bCs w:val="0"/>
          <w:i w:val="0"/>
          <w:strike w:val="0"/>
          <w:color w:val="0000FF"/>
          <w:spacing w:val="0"/>
          <w:sz w:val="24"/>
          <w:szCs w:val="24"/>
          <w:highlight w:val="none"/>
          <w:u w:val="none"/>
          <w:lang w:val="en-US" w:eastAsia="zh-CN"/>
        </w:rPr>
        <w:t>涉及纠纷、诉讼或被处以行政处罚的</w:t>
      </w:r>
      <w:r>
        <w:rPr>
          <w:rFonts w:hint="eastAsia" w:ascii="宋体" w:hAnsi="宋体" w:eastAsia="宋体" w:cs="宋体"/>
          <w:b w:val="0"/>
          <w:i w:val="0"/>
          <w:strike w:val="0"/>
          <w:color w:val="0000FF"/>
          <w:spacing w:val="0"/>
          <w:sz w:val="24"/>
          <w:szCs w:val="24"/>
          <w:highlight w:val="none"/>
          <w:u w:val="none"/>
          <w:lang w:val="en-US" w:eastAsia="zh-CN"/>
        </w:rPr>
        <w:t>，有权直接要求乙方</w:t>
      </w:r>
      <w:r>
        <w:rPr>
          <w:rFonts w:hint="eastAsia" w:ascii="宋体" w:hAnsi="宋体" w:eastAsia="宋体" w:cs="宋体"/>
          <w:b w:val="0"/>
          <w:bCs w:val="0"/>
          <w:i w:val="0"/>
          <w:strike w:val="0"/>
          <w:color w:val="0000FF"/>
          <w:spacing w:val="0"/>
          <w:sz w:val="24"/>
          <w:szCs w:val="24"/>
          <w:highlight w:val="none"/>
          <w:u w:val="none"/>
          <w:lang w:val="en-US" w:eastAsia="zh-CN"/>
        </w:rPr>
        <w:t>承担甲方因纠纷、诉讼、罚款等造成的全部经济损失</w:t>
      </w:r>
      <w:r>
        <w:rPr>
          <w:rFonts w:hint="eastAsia" w:ascii="宋体" w:hAnsi="宋体" w:eastAsia="宋体" w:cs="宋体"/>
          <w:b w:val="0"/>
          <w:i w:val="0"/>
          <w:strike w:val="0"/>
          <w:color w:val="0000FF"/>
          <w:spacing w:val="0"/>
          <w:sz w:val="24"/>
          <w:szCs w:val="24"/>
          <w:highlight w:val="none"/>
          <w:u w:val="none"/>
          <w:lang w:val="en-US" w:eastAsia="zh-CN"/>
        </w:rPr>
        <w:t>，乙方赔偿后可向监测单位追偿。</w:t>
      </w:r>
    </w:p>
    <w:p w14:paraId="3750ACD8">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auto"/>
          <w:spacing w:val="0"/>
          <w:sz w:val="24"/>
          <w:szCs w:val="24"/>
          <w:highlight w:val="none"/>
          <w:u w:val="none"/>
          <w:lang w:val="en-US" w:eastAsia="zh-CN"/>
        </w:rPr>
      </w:pPr>
      <w:r>
        <w:rPr>
          <w:rFonts w:hint="eastAsia" w:ascii="宋体" w:hAnsi="宋体" w:eastAsia="宋体" w:cs="宋体"/>
          <w:b/>
          <w:bCs/>
          <w:i w:val="0"/>
          <w:strike w:val="0"/>
          <w:color w:val="auto"/>
          <w:spacing w:val="0"/>
          <w:sz w:val="24"/>
          <w:szCs w:val="24"/>
          <w:highlight w:val="none"/>
          <w:u w:val="none"/>
          <w:lang w:val="en-US" w:eastAsia="zh-CN"/>
        </w:rPr>
        <w:t>第四条 价款及支付方式</w:t>
      </w:r>
    </w:p>
    <w:p w14:paraId="1008081F">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4.1 本合同服务费用为人民币</w:t>
      </w:r>
      <w:r>
        <w:rPr>
          <w:rFonts w:hint="eastAsia" w:ascii="宋体" w:hAnsi="宋体" w:eastAsia="宋体" w:cs="宋体"/>
          <w:b w:val="0"/>
          <w:i w:val="0"/>
          <w:strike w:val="0"/>
          <w:color w:val="auto"/>
          <w:spacing w:val="0"/>
          <w:sz w:val="24"/>
          <w:szCs w:val="24"/>
          <w:highlight w:val="none"/>
          <w:u w:val="single"/>
          <w:lang w:val="en-US" w:eastAsia="zh-CN"/>
        </w:rPr>
        <w:t xml:space="preserve">      </w:t>
      </w:r>
      <w:r>
        <w:rPr>
          <w:rFonts w:hint="eastAsia" w:ascii="宋体" w:hAnsi="宋体" w:eastAsia="宋体" w:cs="宋体"/>
          <w:b w:val="0"/>
          <w:i w:val="0"/>
          <w:strike w:val="0"/>
          <w:color w:val="auto"/>
          <w:spacing w:val="0"/>
          <w:sz w:val="24"/>
          <w:szCs w:val="24"/>
          <w:highlight w:val="none"/>
          <w:u w:val="none"/>
          <w:lang w:val="en-US" w:eastAsia="zh-CN"/>
        </w:rPr>
        <w:t>元整（小写：</w:t>
      </w:r>
      <w:r>
        <w:rPr>
          <w:rFonts w:hint="eastAsia" w:ascii="宋体" w:hAnsi="宋体" w:eastAsia="宋体" w:cs="宋体"/>
          <w:b w:val="0"/>
          <w:i w:val="0"/>
          <w:strike w:val="0"/>
          <w:color w:val="auto"/>
          <w:spacing w:val="0"/>
          <w:sz w:val="24"/>
          <w:szCs w:val="24"/>
          <w:highlight w:val="none"/>
          <w:u w:val="single"/>
          <w:lang w:val="en-US" w:eastAsia="zh-CN"/>
        </w:rPr>
        <w:t xml:space="preserve">       </w:t>
      </w:r>
      <w:r>
        <w:rPr>
          <w:rFonts w:hint="eastAsia" w:ascii="宋体" w:hAnsi="宋体" w:eastAsia="宋体" w:cs="宋体"/>
          <w:b w:val="0"/>
          <w:i w:val="0"/>
          <w:strike w:val="0"/>
          <w:color w:val="auto"/>
          <w:spacing w:val="0"/>
          <w:sz w:val="24"/>
          <w:szCs w:val="24"/>
          <w:highlight w:val="none"/>
          <w:u w:val="none"/>
          <w:lang w:val="en-US" w:eastAsia="zh-CN"/>
        </w:rPr>
        <w:t>元），已包括人工费、编制费、会议费、会务费、</w:t>
      </w:r>
      <w:r>
        <w:rPr>
          <w:rFonts w:hint="eastAsia" w:ascii="宋体" w:hAnsi="宋体" w:eastAsia="宋体" w:cs="宋体"/>
          <w:b w:val="0"/>
          <w:i w:val="0"/>
          <w:strike w:val="0"/>
          <w:color w:val="FF0000"/>
          <w:spacing w:val="0"/>
          <w:sz w:val="24"/>
          <w:szCs w:val="24"/>
          <w:highlight w:val="none"/>
          <w:u w:val="none"/>
          <w:lang w:val="en-US" w:eastAsia="zh-CN"/>
        </w:rPr>
        <w:t>评审专家费、审查</w:t>
      </w:r>
      <w:r>
        <w:rPr>
          <w:rFonts w:hint="eastAsia" w:ascii="宋体" w:hAnsi="宋体" w:eastAsia="宋体" w:cs="宋体"/>
          <w:b w:val="0"/>
          <w:i w:val="0"/>
          <w:strike w:val="0"/>
          <w:color w:val="auto"/>
          <w:spacing w:val="0"/>
          <w:sz w:val="24"/>
          <w:szCs w:val="24"/>
          <w:highlight w:val="none"/>
          <w:u w:val="none"/>
          <w:lang w:val="en-US" w:eastAsia="zh-CN"/>
        </w:rPr>
        <w:t>备案费、现场勘查费、差旅费、食宿费、税费等一切费用。</w:t>
      </w:r>
    </w:p>
    <w:p w14:paraId="210662D4">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4.2 付款方式：乙方完成在生态环境主管部门的全部备案手续，向甲方提交备案回执（或系统备案成功截屏）及本合同约定的全部成果文件，并向甲方提供价税合计金额与本合同约定价款金额等额的增值税</w:t>
      </w:r>
      <w:r>
        <w:rPr>
          <w:rFonts w:hint="eastAsia" w:ascii="宋体" w:hAnsi="宋体" w:eastAsia="宋体" w:cs="宋体"/>
          <w:b w:val="0"/>
          <w:i w:val="0"/>
          <w:strike w:val="0"/>
          <w:color w:val="FF0000"/>
          <w:spacing w:val="0"/>
          <w:sz w:val="24"/>
          <w:szCs w:val="24"/>
          <w:highlight w:val="none"/>
          <w:u w:val="none"/>
          <w:lang w:val="en-US" w:eastAsia="zh-CN"/>
        </w:rPr>
        <w:t>普通</w:t>
      </w:r>
      <w:r>
        <w:rPr>
          <w:rFonts w:hint="eastAsia" w:ascii="宋体" w:hAnsi="宋体" w:eastAsia="宋体" w:cs="宋体"/>
          <w:b w:val="0"/>
          <w:i w:val="0"/>
          <w:strike w:val="0"/>
          <w:color w:val="auto"/>
          <w:spacing w:val="0"/>
          <w:sz w:val="24"/>
          <w:szCs w:val="24"/>
          <w:highlight w:val="none"/>
          <w:u w:val="none"/>
          <w:lang w:val="en-US" w:eastAsia="zh-CN"/>
        </w:rPr>
        <w:t>发票；</w:t>
      </w:r>
      <w:r>
        <w:rPr>
          <w:rFonts w:hint="eastAsia" w:ascii="宋体" w:hAnsi="宋体" w:eastAsia="宋体" w:cs="宋体"/>
          <w:b w:val="0"/>
          <w:i w:val="0"/>
          <w:strike w:val="0"/>
          <w:color w:val="FF0000"/>
          <w:spacing w:val="0"/>
          <w:sz w:val="24"/>
          <w:szCs w:val="24"/>
          <w:highlight w:val="none"/>
          <w:u w:val="none"/>
          <w:lang w:val="en-US" w:eastAsia="zh-CN"/>
        </w:rPr>
        <w:t>甲方收到前述文件和发票之日起</w:t>
      </w:r>
      <w:r>
        <w:rPr>
          <w:rFonts w:hint="eastAsia" w:ascii="宋体" w:hAnsi="宋体" w:eastAsia="宋体" w:cs="宋体"/>
          <w:b w:val="0"/>
          <w:i w:val="0"/>
          <w:strike w:val="0"/>
          <w:color w:val="auto"/>
          <w:spacing w:val="0"/>
          <w:sz w:val="24"/>
          <w:szCs w:val="24"/>
          <w:highlight w:val="none"/>
          <w:u w:val="none"/>
          <w:lang w:val="en-US" w:eastAsia="zh-CN"/>
        </w:rPr>
        <w:t>十个工作日内，向乙方支付合同款项的90%即</w:t>
      </w:r>
      <w:r>
        <w:rPr>
          <w:rFonts w:hint="eastAsia" w:ascii="宋体" w:hAnsi="宋体" w:eastAsia="宋体" w:cs="宋体"/>
          <w:b w:val="0"/>
          <w:i w:val="0"/>
          <w:strike w:val="0"/>
          <w:color w:val="auto"/>
          <w:spacing w:val="0"/>
          <w:sz w:val="24"/>
          <w:szCs w:val="24"/>
          <w:highlight w:val="none"/>
          <w:u w:val="single"/>
          <w:lang w:val="en-US" w:eastAsia="zh-CN"/>
        </w:rPr>
        <w:t xml:space="preserve">       </w:t>
      </w:r>
      <w:r>
        <w:rPr>
          <w:rFonts w:hint="eastAsia" w:ascii="宋体" w:hAnsi="宋体" w:eastAsia="宋体" w:cs="宋体"/>
          <w:b w:val="0"/>
          <w:i w:val="0"/>
          <w:strike w:val="0"/>
          <w:color w:val="auto"/>
          <w:spacing w:val="0"/>
          <w:sz w:val="24"/>
          <w:szCs w:val="24"/>
          <w:highlight w:val="none"/>
          <w:u w:val="none"/>
          <w:lang w:val="en-US" w:eastAsia="zh-CN"/>
        </w:rPr>
        <w:t>元；在应急预案有效期（即自备案之日起3年）届满后支付合同款项尾款的10%即</w:t>
      </w:r>
      <w:r>
        <w:rPr>
          <w:rFonts w:hint="eastAsia" w:ascii="宋体" w:hAnsi="宋体" w:eastAsia="宋体" w:cs="宋体"/>
          <w:b w:val="0"/>
          <w:i w:val="0"/>
          <w:strike w:val="0"/>
          <w:color w:val="auto"/>
          <w:spacing w:val="0"/>
          <w:sz w:val="24"/>
          <w:szCs w:val="24"/>
          <w:highlight w:val="none"/>
          <w:u w:val="single"/>
          <w:lang w:val="en-US" w:eastAsia="zh-CN"/>
        </w:rPr>
        <w:t xml:space="preserve">       </w:t>
      </w:r>
      <w:r>
        <w:rPr>
          <w:rFonts w:hint="eastAsia" w:ascii="宋体" w:hAnsi="宋体" w:eastAsia="宋体" w:cs="宋体"/>
          <w:b w:val="0"/>
          <w:i w:val="0"/>
          <w:strike w:val="0"/>
          <w:color w:val="auto"/>
          <w:spacing w:val="0"/>
          <w:sz w:val="24"/>
          <w:szCs w:val="24"/>
          <w:highlight w:val="none"/>
          <w:u w:val="none"/>
          <w:lang w:val="en-US" w:eastAsia="zh-CN"/>
        </w:rPr>
        <w:t>元。</w:t>
      </w:r>
    </w:p>
    <w:p w14:paraId="43917C9E">
      <w:pPr>
        <w:keepNext w:val="0"/>
        <w:keepLines w:val="0"/>
        <w:pageBreakBefore w:val="0"/>
        <w:widowControl w:val="0"/>
        <w:wordWrap/>
        <w:overflowPunct/>
        <w:topLinePunct w:val="0"/>
        <w:bidi w:val="0"/>
        <w:spacing w:line="480" w:lineRule="exact"/>
        <w:ind w:firstLine="480" w:firstLineChars="200"/>
        <w:jc w:val="both"/>
        <w:rPr>
          <w:rFonts w:hint="default" w:ascii="宋体" w:hAnsi="宋体" w:eastAsia="宋体" w:cs="宋体"/>
          <w:b w:val="0"/>
          <w:i w:val="0"/>
          <w:strike w:val="0"/>
          <w:color w:val="auto"/>
          <w:spacing w:val="0"/>
          <w:sz w:val="24"/>
          <w:szCs w:val="24"/>
          <w:highlight w:val="none"/>
          <w:u w:val="single"/>
          <w:lang w:val="en-US" w:eastAsia="zh-CN"/>
        </w:rPr>
      </w:pPr>
      <w:r>
        <w:rPr>
          <w:rFonts w:hint="eastAsia" w:ascii="宋体" w:hAnsi="宋体" w:eastAsia="宋体" w:cs="宋体"/>
          <w:b w:val="0"/>
          <w:i w:val="0"/>
          <w:strike w:val="0"/>
          <w:color w:val="auto"/>
          <w:spacing w:val="0"/>
          <w:sz w:val="24"/>
          <w:szCs w:val="24"/>
          <w:highlight w:val="none"/>
          <w:u w:val="none"/>
          <w:lang w:val="en-US" w:eastAsia="zh-CN"/>
        </w:rPr>
        <w:t>4.3 乙方指定收款账户：户名：</w:t>
      </w:r>
      <w:r>
        <w:rPr>
          <w:rFonts w:hint="eastAsia" w:ascii="宋体" w:hAnsi="宋体" w:eastAsia="宋体" w:cs="宋体"/>
          <w:b w:val="0"/>
          <w:i w:val="0"/>
          <w:strike w:val="0"/>
          <w:color w:val="auto"/>
          <w:spacing w:val="0"/>
          <w:sz w:val="24"/>
          <w:szCs w:val="24"/>
          <w:highlight w:val="none"/>
          <w:u w:val="single"/>
          <w:lang w:val="en-US" w:eastAsia="zh-CN"/>
        </w:rPr>
        <w:t xml:space="preserve">                 </w:t>
      </w:r>
      <w:r>
        <w:rPr>
          <w:rFonts w:hint="eastAsia" w:ascii="宋体" w:hAnsi="宋体" w:eastAsia="宋体" w:cs="宋体"/>
          <w:b w:val="0"/>
          <w:i w:val="0"/>
          <w:strike w:val="0"/>
          <w:color w:val="auto"/>
          <w:spacing w:val="0"/>
          <w:sz w:val="24"/>
          <w:szCs w:val="24"/>
          <w:highlight w:val="none"/>
          <w:u w:val="none"/>
          <w:lang w:val="en-US" w:eastAsia="zh-CN"/>
        </w:rPr>
        <w:t>；开户行：</w:t>
      </w:r>
      <w:r>
        <w:rPr>
          <w:rFonts w:hint="eastAsia" w:ascii="宋体" w:hAnsi="宋体" w:eastAsia="宋体" w:cs="宋体"/>
          <w:b w:val="0"/>
          <w:i w:val="0"/>
          <w:strike w:val="0"/>
          <w:color w:val="auto"/>
          <w:spacing w:val="0"/>
          <w:sz w:val="24"/>
          <w:szCs w:val="24"/>
          <w:highlight w:val="none"/>
          <w:u w:val="single"/>
          <w:lang w:val="en-US" w:eastAsia="zh-CN"/>
        </w:rPr>
        <w:t xml:space="preserve">          </w:t>
      </w:r>
      <w:r>
        <w:rPr>
          <w:rFonts w:hint="eastAsia" w:ascii="宋体" w:hAnsi="宋体" w:eastAsia="宋体" w:cs="宋体"/>
          <w:b w:val="0"/>
          <w:i w:val="0"/>
          <w:strike w:val="0"/>
          <w:color w:val="auto"/>
          <w:spacing w:val="0"/>
          <w:sz w:val="24"/>
          <w:szCs w:val="24"/>
          <w:highlight w:val="none"/>
          <w:u w:val="none"/>
          <w:lang w:val="en-US" w:eastAsia="zh-CN"/>
        </w:rPr>
        <w:t>；账号：</w:t>
      </w:r>
      <w:r>
        <w:rPr>
          <w:rFonts w:hint="eastAsia" w:ascii="宋体" w:hAnsi="宋体" w:eastAsia="宋体" w:cs="宋体"/>
          <w:b w:val="0"/>
          <w:i w:val="0"/>
          <w:strike w:val="0"/>
          <w:color w:val="auto"/>
          <w:spacing w:val="0"/>
          <w:sz w:val="24"/>
          <w:szCs w:val="24"/>
          <w:highlight w:val="none"/>
          <w:u w:val="single"/>
          <w:lang w:val="en-US" w:eastAsia="zh-CN"/>
        </w:rPr>
        <w:t xml:space="preserve">                  </w:t>
      </w:r>
      <w:r>
        <w:rPr>
          <w:rFonts w:hint="eastAsia" w:ascii="宋体" w:hAnsi="宋体" w:eastAsia="宋体" w:cs="宋体"/>
          <w:b w:val="0"/>
          <w:i w:val="0"/>
          <w:strike w:val="0"/>
          <w:color w:val="auto"/>
          <w:spacing w:val="0"/>
          <w:sz w:val="24"/>
          <w:szCs w:val="24"/>
          <w:highlight w:val="none"/>
          <w:u w:val="none"/>
          <w:lang w:val="en-US" w:eastAsia="zh-CN"/>
        </w:rPr>
        <w:t>。</w:t>
      </w:r>
    </w:p>
    <w:p w14:paraId="688AEF65">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bCs/>
          <w:i w:val="0"/>
          <w:strike w:val="0"/>
          <w:color w:val="0000FF"/>
          <w:spacing w:val="0"/>
          <w:sz w:val="24"/>
          <w:szCs w:val="24"/>
          <w:highlight w:val="none"/>
          <w:u w:val="none"/>
          <w:lang w:val="en-US" w:eastAsia="zh-CN"/>
        </w:rPr>
        <w:t>第五条 廉洁条款</w:t>
      </w:r>
    </w:p>
    <w:p w14:paraId="00F3D159">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5.1 乙方应严格遵守国家相关法律法规，涉及合同的有关业务活动必须坚持公开、公平、公正、诚信原则，不得为获取不正当利益，损害国家、集体和甲方利益。</w:t>
      </w:r>
    </w:p>
    <w:p w14:paraId="262CBC44">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0000FF"/>
          <w:spacing w:val="0"/>
          <w:sz w:val="24"/>
          <w:szCs w:val="24"/>
          <w:highlight w:val="none"/>
          <w:u w:val="single"/>
          <w:lang w:val="en-US" w:eastAsia="zh-CN"/>
        </w:rPr>
      </w:pPr>
      <w:r>
        <w:rPr>
          <w:rFonts w:hint="eastAsia" w:ascii="宋体" w:hAnsi="宋体" w:eastAsia="宋体" w:cs="宋体"/>
          <w:b/>
          <w:bCs/>
          <w:i w:val="0"/>
          <w:strike w:val="0"/>
          <w:color w:val="0000FF"/>
          <w:spacing w:val="0"/>
          <w:sz w:val="24"/>
          <w:szCs w:val="24"/>
          <w:highlight w:val="none"/>
          <w:u w:val="single"/>
          <w:lang w:val="en-US" w:eastAsia="zh-CN"/>
        </w:rPr>
        <w:t>5.2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026CB03">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bCs/>
          <w:i w:val="0"/>
          <w:strike w:val="0"/>
          <w:color w:val="0000FF"/>
          <w:spacing w:val="0"/>
          <w:sz w:val="24"/>
          <w:szCs w:val="24"/>
          <w:highlight w:val="none"/>
          <w:u w:val="none"/>
          <w:lang w:val="en-US" w:eastAsia="zh-CN"/>
        </w:rPr>
        <w:t>第六条 通知与送达</w:t>
      </w:r>
    </w:p>
    <w:p w14:paraId="27D5BB78">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6.1 甲乙双方同意，与本合同有关的任何文书，应以书面方式按照本合同约定发送，书面方式包括手机短信、微信、书面函件、电子邮件等形式。</w:t>
      </w:r>
    </w:p>
    <w:p w14:paraId="4EB8AFF8">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6.2 双方确认的文书（包括未来可能发生的诉讼或仲裁活动中法院或仲裁机构送达的法律文书）送达地址：</w:t>
      </w:r>
    </w:p>
    <w:p w14:paraId="2CD59990">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6.2.1 甲方的文书送达地址：</w:t>
      </w:r>
      <w:r>
        <w:rPr>
          <w:rFonts w:hint="eastAsia" w:ascii="宋体" w:hAnsi="宋体" w:eastAsia="宋体" w:cs="宋体"/>
          <w:b w:val="0"/>
          <w:i w:val="0"/>
          <w:strike w:val="0"/>
          <w:color w:val="0000FF"/>
          <w:spacing w:val="0"/>
          <w:sz w:val="24"/>
          <w:szCs w:val="24"/>
          <w:highlight w:val="none"/>
          <w:u w:val="single"/>
          <w:lang w:val="en-US" w:eastAsia="zh-CN"/>
        </w:rPr>
        <w:t xml:space="preserve">                   </w:t>
      </w:r>
      <w:r>
        <w:rPr>
          <w:rFonts w:hint="eastAsia" w:ascii="宋体" w:hAnsi="宋体" w:eastAsia="宋体" w:cs="宋体"/>
          <w:b w:val="0"/>
          <w:i w:val="0"/>
          <w:strike w:val="0"/>
          <w:color w:val="0000FF"/>
          <w:spacing w:val="0"/>
          <w:sz w:val="24"/>
          <w:szCs w:val="24"/>
          <w:highlight w:val="none"/>
          <w:u w:val="none"/>
          <w:lang w:val="en-US" w:eastAsia="zh-CN"/>
        </w:rPr>
        <w:t>，收件人：</w:t>
      </w:r>
      <w:r>
        <w:rPr>
          <w:rFonts w:hint="eastAsia" w:ascii="宋体" w:hAnsi="宋体" w:eastAsia="宋体" w:cs="宋体"/>
          <w:b w:val="0"/>
          <w:i w:val="0"/>
          <w:strike w:val="0"/>
          <w:color w:val="0000FF"/>
          <w:spacing w:val="0"/>
          <w:sz w:val="24"/>
          <w:szCs w:val="24"/>
          <w:highlight w:val="none"/>
          <w:u w:val="single"/>
          <w:lang w:val="en-US" w:eastAsia="zh-CN"/>
        </w:rPr>
        <w:t xml:space="preserve">           </w:t>
      </w:r>
      <w:r>
        <w:rPr>
          <w:rFonts w:hint="eastAsia" w:ascii="宋体" w:hAnsi="宋体" w:eastAsia="宋体" w:cs="宋体"/>
          <w:b w:val="0"/>
          <w:i w:val="0"/>
          <w:strike w:val="0"/>
          <w:color w:val="0000FF"/>
          <w:spacing w:val="0"/>
          <w:sz w:val="24"/>
          <w:szCs w:val="24"/>
          <w:highlight w:val="none"/>
          <w:u w:val="none"/>
          <w:lang w:val="en-US" w:eastAsia="zh-CN"/>
        </w:rPr>
        <w:t>，联系电话：</w:t>
      </w:r>
      <w:r>
        <w:rPr>
          <w:rFonts w:hint="eastAsia" w:ascii="宋体" w:hAnsi="宋体" w:eastAsia="宋体" w:cs="宋体"/>
          <w:b w:val="0"/>
          <w:i w:val="0"/>
          <w:strike w:val="0"/>
          <w:color w:val="0000FF"/>
          <w:spacing w:val="0"/>
          <w:sz w:val="24"/>
          <w:szCs w:val="24"/>
          <w:highlight w:val="none"/>
          <w:u w:val="single"/>
          <w:lang w:val="en-US" w:eastAsia="zh-CN"/>
        </w:rPr>
        <w:t xml:space="preserve">          </w:t>
      </w:r>
      <w:r>
        <w:rPr>
          <w:rFonts w:hint="eastAsia" w:ascii="宋体" w:hAnsi="宋体" w:eastAsia="宋体" w:cs="宋体"/>
          <w:b w:val="0"/>
          <w:i w:val="0"/>
          <w:strike w:val="0"/>
          <w:color w:val="0000FF"/>
          <w:spacing w:val="0"/>
          <w:sz w:val="24"/>
          <w:szCs w:val="24"/>
          <w:highlight w:val="none"/>
          <w:u w:val="none"/>
          <w:lang w:val="en-US" w:eastAsia="zh-CN"/>
        </w:rPr>
        <w:t>，电子邮箱：</w:t>
      </w:r>
      <w:r>
        <w:rPr>
          <w:rFonts w:hint="eastAsia" w:ascii="宋体" w:hAnsi="宋体" w:eastAsia="宋体" w:cs="宋体"/>
          <w:b w:val="0"/>
          <w:i w:val="0"/>
          <w:strike w:val="0"/>
          <w:color w:val="0000FF"/>
          <w:spacing w:val="0"/>
          <w:sz w:val="24"/>
          <w:szCs w:val="24"/>
          <w:highlight w:val="none"/>
          <w:u w:val="single"/>
          <w:lang w:val="en-US" w:eastAsia="zh-CN"/>
        </w:rPr>
        <w:t xml:space="preserve">          </w:t>
      </w:r>
      <w:r>
        <w:rPr>
          <w:rFonts w:hint="eastAsia" w:ascii="宋体" w:hAnsi="宋体" w:eastAsia="宋体" w:cs="宋体"/>
          <w:b w:val="0"/>
          <w:i w:val="0"/>
          <w:strike w:val="0"/>
          <w:color w:val="0000FF"/>
          <w:spacing w:val="0"/>
          <w:sz w:val="24"/>
          <w:szCs w:val="24"/>
          <w:highlight w:val="none"/>
          <w:u w:val="none"/>
          <w:lang w:val="en-US" w:eastAsia="zh-CN"/>
        </w:rPr>
        <w:t>。</w:t>
      </w:r>
    </w:p>
    <w:p w14:paraId="23F42BF9">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6.2.2 乙方的文书送达地址：</w:t>
      </w:r>
      <w:r>
        <w:rPr>
          <w:rFonts w:hint="eastAsia" w:ascii="宋体" w:hAnsi="宋体" w:eastAsia="宋体" w:cs="宋体"/>
          <w:b w:val="0"/>
          <w:i w:val="0"/>
          <w:strike w:val="0"/>
          <w:color w:val="0000FF"/>
          <w:spacing w:val="0"/>
          <w:sz w:val="24"/>
          <w:szCs w:val="24"/>
          <w:highlight w:val="none"/>
          <w:u w:val="single"/>
          <w:lang w:val="en-US" w:eastAsia="zh-CN"/>
        </w:rPr>
        <w:t xml:space="preserve">                   </w:t>
      </w:r>
      <w:r>
        <w:rPr>
          <w:rFonts w:hint="eastAsia" w:ascii="宋体" w:hAnsi="宋体" w:eastAsia="宋体" w:cs="宋体"/>
          <w:b w:val="0"/>
          <w:i w:val="0"/>
          <w:strike w:val="0"/>
          <w:color w:val="0000FF"/>
          <w:spacing w:val="0"/>
          <w:sz w:val="24"/>
          <w:szCs w:val="24"/>
          <w:highlight w:val="none"/>
          <w:u w:val="none"/>
          <w:lang w:val="en-US" w:eastAsia="zh-CN"/>
        </w:rPr>
        <w:t>，收件人：</w:t>
      </w:r>
      <w:r>
        <w:rPr>
          <w:rFonts w:hint="eastAsia" w:ascii="宋体" w:hAnsi="宋体" w:eastAsia="宋体" w:cs="宋体"/>
          <w:b w:val="0"/>
          <w:i w:val="0"/>
          <w:strike w:val="0"/>
          <w:color w:val="0000FF"/>
          <w:spacing w:val="0"/>
          <w:sz w:val="24"/>
          <w:szCs w:val="24"/>
          <w:highlight w:val="none"/>
          <w:u w:val="single"/>
          <w:lang w:val="en-US" w:eastAsia="zh-CN"/>
        </w:rPr>
        <w:t xml:space="preserve">           </w:t>
      </w:r>
      <w:r>
        <w:rPr>
          <w:rFonts w:hint="eastAsia" w:ascii="宋体" w:hAnsi="宋体" w:eastAsia="宋体" w:cs="宋体"/>
          <w:b w:val="0"/>
          <w:i w:val="0"/>
          <w:strike w:val="0"/>
          <w:color w:val="0000FF"/>
          <w:spacing w:val="0"/>
          <w:sz w:val="24"/>
          <w:szCs w:val="24"/>
          <w:highlight w:val="none"/>
          <w:u w:val="none"/>
          <w:lang w:val="en-US" w:eastAsia="zh-CN"/>
        </w:rPr>
        <w:t>，联系电话：</w:t>
      </w:r>
      <w:r>
        <w:rPr>
          <w:rFonts w:hint="eastAsia" w:ascii="宋体" w:hAnsi="宋体" w:eastAsia="宋体" w:cs="宋体"/>
          <w:b w:val="0"/>
          <w:i w:val="0"/>
          <w:strike w:val="0"/>
          <w:color w:val="0000FF"/>
          <w:spacing w:val="0"/>
          <w:sz w:val="24"/>
          <w:szCs w:val="24"/>
          <w:highlight w:val="none"/>
          <w:u w:val="single"/>
          <w:lang w:val="en-US" w:eastAsia="zh-CN"/>
        </w:rPr>
        <w:t xml:space="preserve">          </w:t>
      </w:r>
      <w:r>
        <w:rPr>
          <w:rFonts w:hint="eastAsia" w:ascii="宋体" w:hAnsi="宋体" w:eastAsia="宋体" w:cs="宋体"/>
          <w:b w:val="0"/>
          <w:i w:val="0"/>
          <w:strike w:val="0"/>
          <w:color w:val="0000FF"/>
          <w:spacing w:val="0"/>
          <w:sz w:val="24"/>
          <w:szCs w:val="24"/>
          <w:highlight w:val="none"/>
          <w:u w:val="none"/>
          <w:lang w:val="en-US" w:eastAsia="zh-CN"/>
        </w:rPr>
        <w:t>，电子邮箱：</w:t>
      </w:r>
      <w:r>
        <w:rPr>
          <w:rFonts w:hint="eastAsia" w:ascii="宋体" w:hAnsi="宋体" w:eastAsia="宋体" w:cs="宋体"/>
          <w:b w:val="0"/>
          <w:i w:val="0"/>
          <w:strike w:val="0"/>
          <w:color w:val="0000FF"/>
          <w:spacing w:val="0"/>
          <w:sz w:val="24"/>
          <w:szCs w:val="24"/>
          <w:highlight w:val="none"/>
          <w:u w:val="single"/>
          <w:lang w:val="en-US" w:eastAsia="zh-CN"/>
        </w:rPr>
        <w:t xml:space="preserve">          </w:t>
      </w:r>
      <w:r>
        <w:rPr>
          <w:rFonts w:hint="eastAsia" w:ascii="宋体" w:hAnsi="宋体" w:eastAsia="宋体" w:cs="宋体"/>
          <w:b w:val="0"/>
          <w:i w:val="0"/>
          <w:strike w:val="0"/>
          <w:color w:val="0000FF"/>
          <w:spacing w:val="0"/>
          <w:sz w:val="24"/>
          <w:szCs w:val="24"/>
          <w:highlight w:val="none"/>
          <w:u w:val="none"/>
          <w:lang w:val="en-US" w:eastAsia="zh-CN"/>
        </w:rPr>
        <w:t>。</w:t>
      </w:r>
    </w:p>
    <w:p w14:paraId="6D5AD081">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6.3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0BE0F544">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6.4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2EA7079B">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0000FF"/>
          <w:spacing w:val="0"/>
          <w:sz w:val="24"/>
          <w:szCs w:val="24"/>
          <w:highlight w:val="none"/>
          <w:u w:val="none"/>
          <w:lang w:val="en-US" w:eastAsia="zh-CN"/>
        </w:rPr>
      </w:pPr>
      <w:r>
        <w:rPr>
          <w:rFonts w:hint="eastAsia" w:ascii="宋体" w:hAnsi="宋体" w:eastAsia="宋体" w:cs="宋体"/>
          <w:b/>
          <w:bCs/>
          <w:i w:val="0"/>
          <w:strike w:val="0"/>
          <w:color w:val="0000FF"/>
          <w:spacing w:val="0"/>
          <w:sz w:val="24"/>
          <w:szCs w:val="24"/>
          <w:highlight w:val="none"/>
          <w:u w:val="none"/>
          <w:lang w:val="en-US" w:eastAsia="zh-CN"/>
        </w:rPr>
        <w:t>第七条 合同的变更与解除</w:t>
      </w:r>
    </w:p>
    <w:p w14:paraId="3C7D4C67">
      <w:pPr>
        <w:keepNext w:val="0"/>
        <w:keepLines w:val="0"/>
        <w:pageBreakBefore w:val="0"/>
        <w:widowControl w:val="0"/>
        <w:wordWrap/>
        <w:overflowPunct/>
        <w:topLinePunct w:val="0"/>
        <w:bidi w:val="0"/>
        <w:spacing w:line="480" w:lineRule="exact"/>
        <w:ind w:firstLine="480" w:firstLineChars="200"/>
        <w:jc w:val="both"/>
        <w:rPr>
          <w:rFonts w:hint="default"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7.1 本合同未尽事宜，双方协商一致后另行签订补充协议。</w:t>
      </w:r>
    </w:p>
    <w:p w14:paraId="51AB2AB0">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7.2 如出现下列情形之一的，甲方有权拒绝支付任何价款并解除合同：</w:t>
      </w:r>
    </w:p>
    <w:p w14:paraId="138ACC79">
      <w:pPr>
        <w:keepNext w:val="0"/>
        <w:keepLines w:val="0"/>
        <w:pageBreakBefore w:val="0"/>
        <w:widowControl w:val="0"/>
        <w:wordWrap/>
        <w:overflowPunct/>
        <w:topLinePunct w:val="0"/>
        <w:bidi w:val="0"/>
        <w:spacing w:line="480" w:lineRule="exact"/>
        <w:ind w:firstLine="480" w:firstLineChars="200"/>
        <w:jc w:val="both"/>
        <w:rPr>
          <w:rFonts w:hint="default"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7.2.1 乙方逾期</w:t>
      </w:r>
      <w:r>
        <w:rPr>
          <w:rFonts w:hint="eastAsia" w:ascii="宋体" w:hAnsi="宋体" w:eastAsia="宋体" w:cs="宋体"/>
          <w:b w:val="0"/>
          <w:i w:val="0"/>
          <w:strike w:val="0"/>
          <w:color w:val="0000FF"/>
          <w:spacing w:val="0"/>
          <w:sz w:val="24"/>
          <w:szCs w:val="24"/>
          <w:highlight w:val="none"/>
          <w:u w:val="single"/>
          <w:lang w:val="en-US" w:eastAsia="zh-CN"/>
        </w:rPr>
        <w:t xml:space="preserve"> 15 </w:t>
      </w:r>
      <w:r>
        <w:rPr>
          <w:rFonts w:hint="eastAsia" w:ascii="宋体" w:hAnsi="宋体" w:eastAsia="宋体" w:cs="宋体"/>
          <w:b w:val="0"/>
          <w:i w:val="0"/>
          <w:strike w:val="0"/>
          <w:color w:val="0000FF"/>
          <w:spacing w:val="0"/>
          <w:sz w:val="24"/>
          <w:szCs w:val="24"/>
          <w:highlight w:val="none"/>
          <w:u w:val="none"/>
          <w:lang w:val="en-US" w:eastAsia="zh-CN"/>
        </w:rPr>
        <w:t>日未取得通过环保主管部门审查的备案登记表或未向甲方提交本合同约定文件（含纸质和电子版）的；</w:t>
      </w:r>
    </w:p>
    <w:p w14:paraId="78BD1F43">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7.2.2 乙方将本合同权利义务全部或部分转让给第三方的。</w:t>
      </w:r>
    </w:p>
    <w:p w14:paraId="64A22E1D">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auto"/>
          <w:spacing w:val="0"/>
          <w:sz w:val="24"/>
          <w:szCs w:val="24"/>
          <w:highlight w:val="none"/>
          <w:u w:val="none"/>
          <w:lang w:val="en-US" w:eastAsia="zh-CN"/>
        </w:rPr>
      </w:pPr>
      <w:r>
        <w:rPr>
          <w:rFonts w:hint="eastAsia" w:ascii="宋体" w:hAnsi="宋体" w:eastAsia="宋体" w:cs="宋体"/>
          <w:b/>
          <w:bCs/>
          <w:i w:val="0"/>
          <w:strike w:val="0"/>
          <w:color w:val="auto"/>
          <w:spacing w:val="0"/>
          <w:sz w:val="24"/>
          <w:szCs w:val="24"/>
          <w:highlight w:val="none"/>
          <w:u w:val="none"/>
          <w:lang w:val="en-US" w:eastAsia="zh-CN"/>
        </w:rPr>
        <w:t>第八条 违约责任</w:t>
      </w:r>
    </w:p>
    <w:p w14:paraId="048AD261">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8.1 如乙方未在约定期限内完成编制、备案、提交甲方资料的，</w:t>
      </w:r>
      <w:r>
        <w:rPr>
          <w:rFonts w:hint="eastAsia" w:ascii="宋体" w:hAnsi="宋体" w:eastAsia="宋体" w:cs="宋体"/>
          <w:color w:val="000000" w:themeColor="text1"/>
          <w:sz w:val="24"/>
          <w:highlight w:val="none"/>
          <w14:textFill>
            <w14:solidFill>
              <w14:schemeClr w14:val="tx1"/>
            </w14:solidFill>
          </w14:textFill>
        </w:rPr>
        <w:t>除应赔偿甲方因此造成的损失外，</w:t>
      </w:r>
      <w:r>
        <w:rPr>
          <w:rFonts w:hint="eastAsia" w:ascii="宋体" w:hAnsi="宋体" w:eastAsia="宋体" w:cs="宋体"/>
          <w:b w:val="0"/>
          <w:i w:val="0"/>
          <w:strike w:val="0"/>
          <w:color w:val="auto"/>
          <w:spacing w:val="0"/>
          <w:sz w:val="24"/>
          <w:szCs w:val="24"/>
          <w:highlight w:val="none"/>
          <w:u w:val="none"/>
          <w:lang w:val="en-US" w:eastAsia="zh-CN"/>
        </w:rPr>
        <w:t>每逾期一日，须向甲方支付逾期违约金</w:t>
      </w:r>
      <w:r>
        <w:rPr>
          <w:rFonts w:hint="eastAsia" w:ascii="宋体" w:hAnsi="宋体" w:eastAsia="宋体" w:cs="宋体"/>
          <w:b w:val="0"/>
          <w:i w:val="0"/>
          <w:strike w:val="0"/>
          <w:color w:val="0000FF"/>
          <w:spacing w:val="0"/>
          <w:sz w:val="24"/>
          <w:szCs w:val="24"/>
          <w:highlight w:val="none"/>
          <w:u w:val="none"/>
          <w:lang w:val="en-US" w:eastAsia="zh-CN"/>
        </w:rPr>
        <w:t>150</w:t>
      </w:r>
      <w:r>
        <w:rPr>
          <w:rFonts w:hint="eastAsia" w:ascii="宋体" w:hAnsi="宋体" w:eastAsia="宋体" w:cs="宋体"/>
          <w:b w:val="0"/>
          <w:i w:val="0"/>
          <w:strike w:val="0"/>
          <w:color w:val="auto"/>
          <w:spacing w:val="0"/>
          <w:sz w:val="24"/>
          <w:szCs w:val="24"/>
          <w:highlight w:val="none"/>
          <w:u w:val="none"/>
          <w:lang w:val="en-US" w:eastAsia="zh-CN"/>
        </w:rPr>
        <w:t>元。</w:t>
      </w:r>
    </w:p>
    <w:p w14:paraId="772F479F">
      <w:pPr>
        <w:keepNext w:val="0"/>
        <w:keepLines w:val="0"/>
        <w:pageBreakBefore w:val="0"/>
        <w:widowControl w:val="0"/>
        <w:wordWrap/>
        <w:overflowPunct/>
        <w:topLinePunct w:val="0"/>
        <w:bidi w:val="0"/>
        <w:spacing w:line="480" w:lineRule="exact"/>
        <w:ind w:firstLine="480" w:firstLineChars="200"/>
        <w:jc w:val="both"/>
        <w:rPr>
          <w:rFonts w:hint="default"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0000FF"/>
          <w:spacing w:val="0"/>
          <w:sz w:val="24"/>
          <w:szCs w:val="24"/>
          <w:highlight w:val="none"/>
          <w:u w:val="none"/>
          <w:lang w:val="en-US" w:eastAsia="zh-CN"/>
        </w:rPr>
        <w:t>8.2 如乙方未在甲方通知期限内完成应急演练服务、突发环境事件现场服务等服务的，除应赔偿甲方因此造成的损失外，每逾期一日，须向甲方支付逾期违约金150元。</w:t>
      </w:r>
    </w:p>
    <w:p w14:paraId="00280247">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 xml:space="preserve">8.3 </w:t>
      </w:r>
      <w:r>
        <w:rPr>
          <w:rFonts w:hint="eastAsia" w:ascii="宋体" w:hAnsi="宋体" w:eastAsia="宋体" w:cs="宋体"/>
          <w:color w:val="000000" w:themeColor="text1"/>
          <w:sz w:val="24"/>
          <w:highlight w:val="none"/>
          <w14:textFill>
            <w14:solidFill>
              <w14:schemeClr w14:val="tx1"/>
            </w14:solidFill>
          </w14:textFill>
        </w:rPr>
        <w:t>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7.2情形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u w:val="none"/>
          <w14:textFill>
            <w14:solidFill>
              <w14:schemeClr w14:val="tx1"/>
            </w14:solidFill>
          </w14:textFill>
        </w:rPr>
        <w:t>本合同总价款</w:t>
      </w:r>
      <w:r>
        <w:rPr>
          <w:rFonts w:hint="eastAsia" w:ascii="宋体" w:hAnsi="宋体" w:eastAsia="宋体" w:cs="宋体"/>
          <w:color w:val="000000" w:themeColor="text1"/>
          <w:sz w:val="24"/>
          <w:highlight w:val="none"/>
          <w:u w:val="none"/>
          <w:lang w:val="en-US" w:eastAsia="zh-CN"/>
          <w14:textFill>
            <w14:solidFill>
              <w14:schemeClr w14:val="tx1"/>
            </w14:solidFill>
          </w14:textFill>
        </w:rPr>
        <w:t>2</w:t>
      </w:r>
      <w:r>
        <w:rPr>
          <w:rFonts w:hint="eastAsia" w:ascii="宋体" w:hAnsi="宋体" w:eastAsia="宋体" w:cs="宋体"/>
          <w:color w:val="000000" w:themeColor="text1"/>
          <w:sz w:val="24"/>
          <w:highlight w:val="none"/>
          <w:u w:val="none"/>
          <w14:textFill>
            <w14:solidFill>
              <w14:schemeClr w14:val="tx1"/>
            </w14:solidFill>
          </w14:textFill>
        </w:rPr>
        <w:t>0%</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r>
        <w:rPr>
          <w:rFonts w:hint="eastAsia" w:ascii="宋体" w:hAnsi="宋体" w:eastAsia="宋体" w:cs="宋体"/>
          <w:color w:val="000000" w:themeColor="text1"/>
          <w:sz w:val="24"/>
          <w:highlight w:val="none"/>
          <w:lang w:eastAsia="zh-CN"/>
          <w14:textFill>
            <w14:solidFill>
              <w14:schemeClr w14:val="tx1"/>
            </w14:solidFill>
          </w14:textFill>
        </w:rPr>
        <w:t>。</w:t>
      </w:r>
    </w:p>
    <w:p w14:paraId="1253992A">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0000FF"/>
          <w:spacing w:val="0"/>
          <w:sz w:val="24"/>
          <w:szCs w:val="24"/>
          <w:highlight w:val="none"/>
          <w:u w:val="single"/>
          <w:lang w:val="en-US" w:eastAsia="zh-CN"/>
        </w:rPr>
      </w:pPr>
      <w:r>
        <w:rPr>
          <w:rFonts w:hint="eastAsia" w:ascii="宋体" w:hAnsi="宋体" w:eastAsia="宋体" w:cs="宋体"/>
          <w:b/>
          <w:bCs/>
          <w:i w:val="0"/>
          <w:strike w:val="0"/>
          <w:color w:val="0000FF"/>
          <w:spacing w:val="0"/>
          <w:sz w:val="24"/>
          <w:szCs w:val="24"/>
          <w:highlight w:val="none"/>
          <w:u w:val="single"/>
          <w:lang w:val="en-US" w:eastAsia="zh-CN"/>
        </w:rPr>
        <w:t>8.4 无论甲方在任意时候（不限于本合同履行期间）发现存在违反本合同廉洁条款的行为，乙方均须向甲方支付一次性惩罚性违约金3800元。如乙方除需承担违反廉洁条款的违约责任外，同时存在其他违约行为，乙方仍须就其他违约行为承担相应违约责任。</w:t>
      </w:r>
    </w:p>
    <w:p w14:paraId="758171FA">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0000FF"/>
          <w:spacing w:val="0"/>
          <w:sz w:val="24"/>
          <w:szCs w:val="24"/>
          <w:highlight w:val="none"/>
          <w:u w:val="single"/>
          <w:lang w:val="en-US" w:eastAsia="zh-CN"/>
        </w:rPr>
      </w:pPr>
      <w:r>
        <w:rPr>
          <w:rFonts w:hint="eastAsia" w:ascii="宋体" w:hAnsi="宋体" w:eastAsia="宋体" w:cs="宋体"/>
          <w:b/>
          <w:bCs/>
          <w:i w:val="0"/>
          <w:strike w:val="0"/>
          <w:color w:val="0000FF"/>
          <w:spacing w:val="0"/>
          <w:sz w:val="24"/>
          <w:szCs w:val="24"/>
          <w:highlight w:val="none"/>
          <w:u w:val="single"/>
          <w:lang w:val="en-US" w:eastAsia="zh-CN"/>
        </w:rPr>
        <w:t>8.5 据本合同约定乙方应支付给甲方的违约金，甲方有权在应支付给乙方的任意价款中直接予以扣除，如扣除部分不足，乙方应在接到甲方通知后3日内补足。</w:t>
      </w:r>
    </w:p>
    <w:p w14:paraId="66A7F6E3">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8.6 因不可抗力因素导致迟延履行的，不承担违约责任，但不可抗力因素消除后应当立即恢复履行。</w:t>
      </w:r>
    </w:p>
    <w:p w14:paraId="1A1A4CAF">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auto"/>
          <w:spacing w:val="0"/>
          <w:sz w:val="24"/>
          <w:szCs w:val="24"/>
          <w:highlight w:val="none"/>
          <w:u w:val="none"/>
          <w:lang w:val="en-US" w:eastAsia="zh-CN"/>
        </w:rPr>
      </w:pPr>
      <w:r>
        <w:rPr>
          <w:rFonts w:hint="eastAsia" w:ascii="宋体" w:hAnsi="宋体" w:eastAsia="宋体" w:cs="宋体"/>
          <w:b/>
          <w:bCs/>
          <w:i w:val="0"/>
          <w:strike w:val="0"/>
          <w:color w:val="auto"/>
          <w:spacing w:val="0"/>
          <w:sz w:val="24"/>
          <w:szCs w:val="24"/>
          <w:highlight w:val="none"/>
          <w:u w:val="none"/>
          <w:lang w:val="en-US" w:eastAsia="zh-CN"/>
        </w:rPr>
        <w:t>第九条 争议解决方式</w:t>
      </w:r>
    </w:p>
    <w:p w14:paraId="242B5554">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1621A3F5">
      <w:pPr>
        <w:keepNext w:val="0"/>
        <w:keepLines w:val="0"/>
        <w:pageBreakBefore w:val="0"/>
        <w:widowControl w:val="0"/>
        <w:wordWrap/>
        <w:overflowPunct/>
        <w:topLinePunct w:val="0"/>
        <w:bidi w:val="0"/>
        <w:spacing w:line="480" w:lineRule="exact"/>
        <w:ind w:firstLine="482" w:firstLineChars="200"/>
        <w:jc w:val="both"/>
        <w:rPr>
          <w:rFonts w:hint="eastAsia" w:ascii="宋体" w:hAnsi="宋体" w:eastAsia="宋体" w:cs="宋体"/>
          <w:b/>
          <w:bCs/>
          <w:i w:val="0"/>
          <w:strike w:val="0"/>
          <w:color w:val="auto"/>
          <w:spacing w:val="0"/>
          <w:sz w:val="24"/>
          <w:szCs w:val="24"/>
          <w:highlight w:val="none"/>
          <w:u w:val="none"/>
          <w:lang w:val="en-US" w:eastAsia="zh-CN"/>
        </w:rPr>
      </w:pPr>
      <w:r>
        <w:rPr>
          <w:rFonts w:hint="eastAsia" w:ascii="宋体" w:hAnsi="宋体" w:eastAsia="宋体" w:cs="宋体"/>
          <w:b/>
          <w:bCs/>
          <w:i w:val="0"/>
          <w:strike w:val="0"/>
          <w:color w:val="auto"/>
          <w:spacing w:val="0"/>
          <w:sz w:val="24"/>
          <w:szCs w:val="24"/>
          <w:highlight w:val="none"/>
          <w:u w:val="none"/>
          <w:lang w:val="en-US" w:eastAsia="zh-CN"/>
        </w:rPr>
        <w:t>第十条 其他</w:t>
      </w:r>
    </w:p>
    <w:p w14:paraId="79597791">
      <w:pPr>
        <w:keepNext w:val="0"/>
        <w:keepLines w:val="0"/>
        <w:pageBreakBefore w:val="0"/>
        <w:widowControl w:val="0"/>
        <w:wordWrap/>
        <w:overflowPunct/>
        <w:topLinePunct w:val="0"/>
        <w:bidi w:val="0"/>
        <w:spacing w:line="480" w:lineRule="exact"/>
        <w:ind w:firstLine="480" w:firstLineChars="200"/>
        <w:jc w:val="both"/>
        <w:rPr>
          <w:rFonts w:hint="default" w:ascii="宋体" w:hAnsi="宋体" w:eastAsia="宋体" w:cs="宋体"/>
          <w:b w:val="0"/>
          <w:i w:val="0"/>
          <w:strike w:val="0"/>
          <w:color w:val="0000FF"/>
          <w:spacing w:val="0"/>
          <w:sz w:val="24"/>
          <w:szCs w:val="24"/>
          <w:highlight w:val="none"/>
          <w:u w:val="none"/>
          <w:lang w:val="en-US" w:eastAsia="zh-CN"/>
        </w:rPr>
      </w:pPr>
      <w:r>
        <w:rPr>
          <w:rFonts w:hint="eastAsia" w:ascii="宋体" w:hAnsi="宋体" w:eastAsia="宋体" w:cs="宋体"/>
          <w:color w:val="0000FF"/>
          <w:sz w:val="24"/>
          <w:highlight w:val="none"/>
          <w:lang w:val="en-US" w:eastAsia="zh-CN"/>
        </w:rPr>
        <w:t xml:space="preserve">10.1 </w:t>
      </w:r>
      <w:r>
        <w:rPr>
          <w:rFonts w:hint="eastAsia" w:ascii="宋体" w:hAnsi="宋体" w:eastAsia="宋体" w:cs="宋体"/>
          <w:color w:val="0000FF"/>
          <w:sz w:val="24"/>
          <w:highlight w:val="none"/>
        </w:rPr>
        <w:t>本合同组成文件和优先解释顺序：</w:t>
      </w:r>
      <w:r>
        <w:rPr>
          <w:rFonts w:hint="eastAsia" w:ascii="宋体" w:hAnsi="宋体" w:eastAsia="宋体" w:cs="宋体"/>
          <w:color w:val="0000FF"/>
          <w:sz w:val="24"/>
          <w:highlight w:val="none"/>
          <w:lang w:eastAsia="zh-CN"/>
        </w:rPr>
        <w:t>乙方在履行本合同中作出的书面承诺；</w:t>
      </w:r>
      <w:r>
        <w:rPr>
          <w:rFonts w:hint="eastAsia" w:ascii="宋体" w:hAnsi="宋体" w:eastAsia="宋体" w:cs="宋体"/>
          <w:color w:val="0000FF"/>
          <w:sz w:val="24"/>
          <w:highlight w:val="none"/>
        </w:rPr>
        <w:t>本合同补充协议；本合同及附件；</w:t>
      </w:r>
      <w:r>
        <w:rPr>
          <w:rFonts w:hint="eastAsia" w:ascii="宋体" w:hAnsi="宋体" w:eastAsia="宋体" w:cs="宋体"/>
          <w:color w:val="0000FF"/>
          <w:sz w:val="24"/>
          <w:highlight w:val="none"/>
          <w:lang w:eastAsia="zh-CN"/>
        </w:rPr>
        <w:t>中标通知书</w:t>
      </w:r>
      <w:r>
        <w:rPr>
          <w:rFonts w:hint="eastAsia" w:ascii="宋体" w:hAnsi="宋体" w:eastAsia="宋体" w:cs="宋体"/>
          <w:color w:val="0000FF"/>
          <w:sz w:val="24"/>
          <w:highlight w:val="none"/>
          <w:lang w:val="en-US" w:eastAsia="zh-CN"/>
        </w:rPr>
        <w:t>/成交通知书/</w:t>
      </w:r>
      <w:r>
        <w:rPr>
          <w:rFonts w:hint="eastAsia" w:ascii="宋体" w:hAnsi="宋体" w:eastAsia="宋体" w:cs="宋体"/>
          <w:color w:val="0000FF"/>
          <w:sz w:val="24"/>
          <w:highlight w:val="none"/>
        </w:rPr>
        <w:t>议价结果公示</w:t>
      </w:r>
      <w:r>
        <w:rPr>
          <w:rFonts w:hint="eastAsia" w:ascii="宋体" w:hAnsi="宋体" w:eastAsia="宋体" w:cs="宋体"/>
          <w:color w:val="0000FF"/>
          <w:sz w:val="24"/>
          <w:highlight w:val="none"/>
          <w:lang w:val="en-US" w:eastAsia="zh-CN"/>
        </w:rPr>
        <w:t>/成交公告</w:t>
      </w:r>
      <w:r>
        <w:rPr>
          <w:rFonts w:hint="eastAsia" w:ascii="宋体" w:hAnsi="宋体" w:eastAsia="宋体" w:cs="宋体"/>
          <w:color w:val="0000FF"/>
          <w:sz w:val="24"/>
          <w:highlight w:val="none"/>
        </w:rPr>
        <w:t>；</w:t>
      </w:r>
      <w:r>
        <w:rPr>
          <w:rFonts w:hint="eastAsia" w:ascii="宋体" w:hAnsi="宋体" w:eastAsia="宋体" w:cs="宋体"/>
          <w:color w:val="0000FF"/>
          <w:sz w:val="24"/>
          <w:highlight w:val="none"/>
          <w:lang w:eastAsia="zh-CN"/>
        </w:rPr>
        <w:t>投标文件</w:t>
      </w:r>
      <w:r>
        <w:rPr>
          <w:rFonts w:hint="eastAsia" w:ascii="宋体" w:hAnsi="宋体" w:eastAsia="宋体" w:cs="宋体"/>
          <w:color w:val="0000FF"/>
          <w:sz w:val="24"/>
          <w:highlight w:val="none"/>
          <w:lang w:val="en-US" w:eastAsia="zh-CN"/>
        </w:rPr>
        <w:t>/</w:t>
      </w:r>
      <w:r>
        <w:rPr>
          <w:rFonts w:hint="eastAsia" w:ascii="宋体" w:hAnsi="宋体" w:eastAsia="宋体" w:cs="宋体"/>
          <w:color w:val="0000FF"/>
          <w:sz w:val="24"/>
          <w:highlight w:val="none"/>
        </w:rPr>
        <w:t>响应文件；</w:t>
      </w:r>
      <w:r>
        <w:rPr>
          <w:rFonts w:hint="eastAsia" w:ascii="宋体" w:hAnsi="宋体" w:eastAsia="宋体" w:cs="宋体"/>
          <w:color w:val="0000FF"/>
          <w:sz w:val="24"/>
          <w:highlight w:val="none"/>
          <w:lang w:eastAsia="zh-CN"/>
        </w:rPr>
        <w:t>招标文件</w:t>
      </w:r>
      <w:r>
        <w:rPr>
          <w:rFonts w:hint="eastAsia" w:ascii="宋体" w:hAnsi="宋体" w:eastAsia="宋体" w:cs="宋体"/>
          <w:color w:val="0000FF"/>
          <w:sz w:val="24"/>
          <w:highlight w:val="none"/>
          <w:lang w:val="en-US" w:eastAsia="zh-CN"/>
        </w:rPr>
        <w:t>/</w:t>
      </w:r>
      <w:r>
        <w:rPr>
          <w:rFonts w:hint="eastAsia" w:ascii="宋体" w:hAnsi="宋体" w:eastAsia="宋体" w:cs="宋体"/>
          <w:color w:val="0000FF"/>
          <w:sz w:val="24"/>
          <w:highlight w:val="none"/>
        </w:rPr>
        <w:t>采购文件</w:t>
      </w:r>
      <w:r>
        <w:rPr>
          <w:rFonts w:hint="eastAsia" w:ascii="宋体" w:hAnsi="宋体" w:eastAsia="宋体" w:cs="宋体"/>
          <w:color w:val="0000FF"/>
          <w:sz w:val="24"/>
          <w:highlight w:val="none"/>
          <w:lang w:val="en-US" w:eastAsia="zh-CN"/>
        </w:rPr>
        <w:t>/采购需求</w:t>
      </w:r>
      <w:r>
        <w:rPr>
          <w:rFonts w:hint="eastAsia" w:ascii="宋体" w:hAnsi="宋体" w:eastAsia="宋体" w:cs="宋体"/>
          <w:color w:val="0000FF"/>
          <w:sz w:val="24"/>
          <w:highlight w:val="none"/>
        </w:rPr>
        <w:t>；其他与本合同有关的资料。</w:t>
      </w:r>
    </w:p>
    <w:p w14:paraId="4F26F30D">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10.2 本合同一式伍份，甲方执叁份、乙方执贰份，自双方签字并盖章之日起生效。</w:t>
      </w:r>
    </w:p>
    <w:p w14:paraId="02896EEB">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p>
    <w:p w14:paraId="2258B7A2">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甲方（盖章）：娄底市中心医院    乙方（盖章）：</w:t>
      </w:r>
    </w:p>
    <w:p w14:paraId="7ED68E81">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p>
    <w:p w14:paraId="24D0CAE7">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法定代表人（签字）：           法定代表人（签字）：</w:t>
      </w:r>
    </w:p>
    <w:p w14:paraId="0D446D31">
      <w:pPr>
        <w:keepNext w:val="0"/>
        <w:keepLines w:val="0"/>
        <w:pageBreakBefore w:val="0"/>
        <w:widowControl w:val="0"/>
        <w:wordWrap/>
        <w:overflowPunct/>
        <w:topLinePunct w:val="0"/>
        <w:bidi w:val="0"/>
        <w:spacing w:line="480" w:lineRule="exact"/>
        <w:jc w:val="both"/>
        <w:rPr>
          <w:rFonts w:hint="eastAsia" w:ascii="宋体" w:hAnsi="宋体" w:eastAsia="宋体" w:cs="宋体"/>
          <w:b w:val="0"/>
          <w:i w:val="0"/>
          <w:strike w:val="0"/>
          <w:color w:val="auto"/>
          <w:spacing w:val="0"/>
          <w:sz w:val="24"/>
          <w:szCs w:val="24"/>
          <w:highlight w:val="none"/>
          <w:u w:val="none"/>
          <w:lang w:val="en-US" w:eastAsia="zh-CN"/>
        </w:rPr>
      </w:pPr>
    </w:p>
    <w:p w14:paraId="4BDEDA47">
      <w:pPr>
        <w:keepNext w:val="0"/>
        <w:keepLines w:val="0"/>
        <w:pageBreakBefore w:val="0"/>
        <w:widowControl w:val="0"/>
        <w:wordWrap/>
        <w:overflowPunct/>
        <w:topLinePunct w:val="0"/>
        <w:bidi w:val="0"/>
        <w:spacing w:line="480" w:lineRule="exact"/>
        <w:ind w:firstLine="480" w:firstLineChars="200"/>
        <w:jc w:val="both"/>
        <w:rPr>
          <w:rFonts w:hint="eastAsia" w:ascii="宋体" w:hAnsi="宋体" w:eastAsia="宋体" w:cs="宋体"/>
          <w:b w:val="0"/>
          <w:i w:val="0"/>
          <w:strike w:val="0"/>
          <w:color w:val="auto"/>
          <w:spacing w:val="0"/>
          <w:sz w:val="24"/>
          <w:szCs w:val="24"/>
          <w:highlight w:val="none"/>
          <w:u w:val="none"/>
          <w:lang w:val="en-US" w:eastAsia="zh-CN"/>
        </w:rPr>
      </w:pPr>
      <w:r>
        <w:rPr>
          <w:rFonts w:hint="eastAsia" w:ascii="宋体" w:hAnsi="宋体" w:eastAsia="宋体" w:cs="宋体"/>
          <w:b w:val="0"/>
          <w:i w:val="0"/>
          <w:strike w:val="0"/>
          <w:color w:val="auto"/>
          <w:spacing w:val="0"/>
          <w:sz w:val="24"/>
          <w:szCs w:val="24"/>
          <w:highlight w:val="none"/>
          <w:u w:val="none"/>
          <w:lang w:val="en-US" w:eastAsia="zh-CN"/>
        </w:rPr>
        <w:t>或委托代理人（签字）：         或委托代理人（签字）：</w:t>
      </w:r>
    </w:p>
    <w:p w14:paraId="1C9535B8">
      <w:pPr>
        <w:keepNext w:val="0"/>
        <w:keepLines w:val="0"/>
        <w:pageBreakBefore w:val="0"/>
        <w:widowControl w:val="0"/>
        <w:wordWrap/>
        <w:overflowPunct/>
        <w:topLinePunct w:val="0"/>
        <w:bidi w:val="0"/>
        <w:spacing w:line="480" w:lineRule="exact"/>
        <w:jc w:val="both"/>
        <w:rPr>
          <w:rFonts w:hint="eastAsia" w:ascii="宋体" w:hAnsi="宋体" w:eastAsia="宋体" w:cs="宋体"/>
          <w:b w:val="0"/>
          <w:i w:val="0"/>
          <w:strike w:val="0"/>
          <w:color w:val="auto"/>
          <w:spacing w:val="0"/>
          <w:sz w:val="24"/>
          <w:szCs w:val="24"/>
          <w:highlight w:val="none"/>
          <w:u w:val="none"/>
          <w:lang w:val="en-US" w:eastAsia="zh-CN"/>
        </w:rPr>
      </w:pPr>
    </w:p>
    <w:p w14:paraId="221047EB">
      <w:pPr>
        <w:keepNext w:val="0"/>
        <w:keepLines w:val="0"/>
        <w:pageBreakBefore w:val="0"/>
        <w:widowControl w:val="0"/>
        <w:wordWrap/>
        <w:overflowPunct/>
        <w:topLinePunct w:val="0"/>
        <w:bidi w:val="0"/>
        <w:spacing w:line="300" w:lineRule="exact"/>
        <w:rPr>
          <w:color w:val="000000" w:themeColor="text1"/>
          <w:sz w:val="23"/>
          <w:szCs w:val="23"/>
          <w:highlight w:val="none"/>
          <w14:textFill>
            <w14:solidFill>
              <w14:schemeClr w14:val="tx1"/>
            </w14:solidFill>
          </w14:textFill>
        </w:rPr>
      </w:pPr>
      <w:r>
        <w:rPr>
          <w:rFonts w:hint="eastAsia" w:ascii="宋体" w:hAnsi="宋体" w:eastAsia="宋体" w:cs="宋体"/>
          <w:b w:val="0"/>
          <w:i w:val="0"/>
          <w:strike w:val="0"/>
          <w:color w:val="auto"/>
          <w:spacing w:val="0"/>
          <w:sz w:val="24"/>
          <w:szCs w:val="24"/>
          <w:highlight w:val="none"/>
          <w:u w:val="none"/>
          <w:lang w:val="en-US" w:eastAsia="zh-CN"/>
        </w:rPr>
        <w:t xml:space="preserve">合同签订地、履行地：娄底市娄星区   签订日期：2026年   月   日    </w:t>
      </w:r>
      <w:r>
        <w:rPr>
          <w:rFonts w:hint="eastAsia" w:ascii="仿宋" w:hAnsi="仿宋" w:eastAsia="仿宋" w:cs="仿宋"/>
          <w:color w:val="auto"/>
          <w:sz w:val="32"/>
          <w:szCs w:val="32"/>
          <w:highlight w:val="none"/>
        </w:rPr>
        <w:t xml:space="preserve"> </w:t>
      </w:r>
    </w:p>
    <w:p w14:paraId="4AD749F2">
      <w:pPr>
        <w:rPr>
          <w:rFonts w:hint="default" w:eastAsia="宋体"/>
          <w:color w:val="000000" w:themeColor="text1"/>
          <w:sz w:val="23"/>
          <w:szCs w:val="23"/>
          <w:highlight w:val="none"/>
          <w:lang w:val="en-US" w:eastAsia="zh-CN"/>
          <w14:textFill>
            <w14:solidFill>
              <w14:schemeClr w14:val="tx1"/>
            </w14:solidFill>
          </w14:textFill>
        </w:rPr>
      </w:pPr>
      <w:r>
        <w:rPr>
          <w:rFonts w:hint="default" w:eastAsia="宋体"/>
          <w:color w:val="000000" w:themeColor="text1"/>
          <w:sz w:val="23"/>
          <w:szCs w:val="23"/>
          <w:highlight w:val="none"/>
          <w:lang w:val="en-US" w:eastAsia="zh-CN"/>
          <w14:textFill>
            <w14:solidFill>
              <w14:schemeClr w14:val="tx1"/>
            </w14:solidFill>
          </w14:textFill>
        </w:rPr>
        <w:br w:type="page"/>
      </w:r>
    </w:p>
    <w:p w14:paraId="2E838F41">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42075ED1">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0011AD09">
      <w:pPr>
        <w:rPr>
          <w:rFonts w:hint="eastAsia" w:ascii="宋体" w:hAnsi="宋体" w:cs="宋体"/>
          <w:color w:val="auto"/>
        </w:rPr>
      </w:pPr>
    </w:p>
    <w:bookmarkEnd w:id="1"/>
    <w:p w14:paraId="6B60CB95">
      <w:pPr>
        <w:rPr>
          <w:rFonts w:hint="eastAsia"/>
          <w:color w:val="auto"/>
        </w:rPr>
      </w:pPr>
    </w:p>
    <w:p w14:paraId="463F9F65">
      <w:pPr>
        <w:jc w:val="center"/>
        <w:rPr>
          <w:b/>
          <w:color w:val="auto"/>
          <w:sz w:val="24"/>
        </w:rPr>
      </w:pPr>
      <w:r>
        <w:rPr>
          <w:b/>
          <w:color w:val="auto"/>
          <w:sz w:val="28"/>
          <w:szCs w:val="28"/>
        </w:rPr>
        <w:t>第一部分、开标一览表</w:t>
      </w:r>
    </w:p>
    <w:p w14:paraId="40105E6A">
      <w:pPr>
        <w:jc w:val="center"/>
        <w:rPr>
          <w:b/>
          <w:color w:val="auto"/>
          <w:sz w:val="24"/>
        </w:rPr>
      </w:pPr>
    </w:p>
    <w:p w14:paraId="60B35180">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14:paraId="71CAD04D">
      <w:pPr>
        <w:pStyle w:val="24"/>
        <w:rPr>
          <w:color w:val="auto"/>
        </w:rPr>
      </w:pPr>
    </w:p>
    <w:p w14:paraId="66551667">
      <w:pPr>
        <w:adjustRightInd w:val="0"/>
        <w:snapToGrid w:val="0"/>
        <w:spacing w:line="360" w:lineRule="auto"/>
        <w:jc w:val="center"/>
        <w:rPr>
          <w:rFonts w:hint="eastAsia" w:ascii="宋体" w:hAnsi="宋体" w:cs="宋体"/>
          <w:b/>
          <w:color w:val="auto"/>
          <w:sz w:val="28"/>
          <w:szCs w:val="28"/>
        </w:rPr>
      </w:pPr>
    </w:p>
    <w:p w14:paraId="28166D50">
      <w:pPr>
        <w:adjustRightInd w:val="0"/>
        <w:snapToGrid w:val="0"/>
        <w:spacing w:line="360" w:lineRule="auto"/>
        <w:jc w:val="center"/>
        <w:rPr>
          <w:rFonts w:hint="eastAsia" w:ascii="宋体" w:hAnsi="宋体" w:cs="宋体"/>
          <w:b/>
          <w:color w:val="auto"/>
          <w:sz w:val="28"/>
          <w:szCs w:val="28"/>
        </w:rPr>
      </w:pPr>
    </w:p>
    <w:p w14:paraId="4E8B8904">
      <w:pPr>
        <w:adjustRightInd w:val="0"/>
        <w:snapToGrid w:val="0"/>
        <w:spacing w:line="360" w:lineRule="auto"/>
        <w:jc w:val="center"/>
        <w:rPr>
          <w:rFonts w:hint="eastAsia" w:ascii="宋体" w:hAnsi="宋体" w:cs="宋体"/>
          <w:b/>
          <w:color w:val="auto"/>
          <w:sz w:val="28"/>
          <w:szCs w:val="28"/>
        </w:rPr>
      </w:pPr>
    </w:p>
    <w:p w14:paraId="2945B527">
      <w:pPr>
        <w:adjustRightInd w:val="0"/>
        <w:snapToGrid w:val="0"/>
        <w:spacing w:line="360" w:lineRule="auto"/>
        <w:jc w:val="center"/>
        <w:rPr>
          <w:rFonts w:hint="eastAsia" w:ascii="宋体" w:hAnsi="宋体" w:cs="宋体"/>
          <w:b/>
          <w:color w:val="auto"/>
          <w:sz w:val="28"/>
          <w:szCs w:val="28"/>
        </w:rPr>
      </w:pPr>
    </w:p>
    <w:p w14:paraId="1FBF603D">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43D168BD">
      <w:pPr>
        <w:pStyle w:val="23"/>
        <w:rPr>
          <w:rFonts w:hint="eastAsia"/>
          <w:lang w:eastAsia="zh-CN"/>
        </w:rPr>
      </w:pPr>
    </w:p>
    <w:p w14:paraId="386689DC">
      <w:pPr>
        <w:adjustRightInd w:val="0"/>
        <w:snapToGrid w:val="0"/>
        <w:spacing w:line="360" w:lineRule="auto"/>
        <w:jc w:val="center"/>
        <w:rPr>
          <w:rFonts w:hint="eastAsia" w:ascii="宋体" w:hAnsi="宋体" w:cs="宋体"/>
          <w:b/>
          <w:color w:val="auto"/>
          <w:sz w:val="24"/>
          <w:szCs w:val="20"/>
        </w:rPr>
      </w:pPr>
    </w:p>
    <w:p w14:paraId="11F0F571">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64449AAA">
      <w:pPr>
        <w:adjustRightInd w:val="0"/>
        <w:snapToGrid w:val="0"/>
        <w:spacing w:line="360" w:lineRule="auto"/>
        <w:rPr>
          <w:rFonts w:hint="eastAsia" w:ascii="宋体" w:hAnsi="宋体" w:cs="宋体"/>
          <w:b/>
          <w:color w:val="auto"/>
          <w:sz w:val="28"/>
          <w:szCs w:val="28"/>
        </w:rPr>
      </w:pPr>
    </w:p>
    <w:p w14:paraId="540590FF">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381B1A2">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EF25468">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51BFDC15">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4F084AFC">
      <w:pPr>
        <w:adjustRightInd w:val="0"/>
        <w:snapToGrid w:val="0"/>
        <w:spacing w:line="360" w:lineRule="auto"/>
        <w:ind w:firstLine="480" w:firstLineChars="200"/>
        <w:rPr>
          <w:rFonts w:hint="eastAsia" w:ascii="宋体" w:hAnsi="宋体" w:cs="宋体"/>
          <w:color w:val="auto"/>
          <w:sz w:val="24"/>
        </w:rPr>
      </w:pPr>
    </w:p>
    <w:tbl>
      <w:tblPr>
        <w:tblStyle w:val="17"/>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7C87C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252076A9">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637D8040">
      <w:pPr>
        <w:adjustRightInd w:val="0"/>
        <w:snapToGrid w:val="0"/>
        <w:spacing w:line="360" w:lineRule="auto"/>
        <w:rPr>
          <w:rFonts w:hint="eastAsia" w:ascii="宋体" w:hAnsi="宋体" w:cs="宋体"/>
          <w:color w:val="auto"/>
          <w:sz w:val="24"/>
        </w:rPr>
      </w:pPr>
    </w:p>
    <w:tbl>
      <w:tblPr>
        <w:tblStyle w:val="17"/>
        <w:tblW w:w="8278"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5753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4C02A26">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573075C3">
      <w:pPr>
        <w:adjustRightInd w:val="0"/>
        <w:snapToGrid w:val="0"/>
        <w:spacing w:line="360" w:lineRule="auto"/>
        <w:rPr>
          <w:rFonts w:hint="eastAsia" w:ascii="宋体" w:hAnsi="宋体" w:cs="宋体"/>
          <w:color w:val="auto"/>
          <w:sz w:val="24"/>
        </w:rPr>
      </w:pPr>
    </w:p>
    <w:p w14:paraId="2BBB8A34">
      <w:pPr>
        <w:adjustRightInd w:val="0"/>
        <w:snapToGrid w:val="0"/>
        <w:spacing w:line="360" w:lineRule="auto"/>
        <w:rPr>
          <w:rFonts w:hint="eastAsia" w:ascii="宋体" w:hAnsi="宋体" w:cs="宋体"/>
          <w:color w:val="auto"/>
          <w:sz w:val="24"/>
        </w:rPr>
      </w:pPr>
    </w:p>
    <w:p w14:paraId="1A8CC709">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1CA38E1D">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24E802C">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7E29138A">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18D29777">
      <w:pPr>
        <w:adjustRightInd w:val="0"/>
        <w:snapToGrid w:val="0"/>
        <w:spacing w:line="360" w:lineRule="auto"/>
        <w:rPr>
          <w:rFonts w:hint="eastAsia" w:ascii="宋体" w:hAnsi="宋体" w:cs="宋体"/>
          <w:b/>
          <w:color w:val="auto"/>
          <w:sz w:val="28"/>
          <w:szCs w:val="28"/>
        </w:rPr>
      </w:pPr>
    </w:p>
    <w:p w14:paraId="3F6A11CD">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3E86AAC0">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129B67D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w:t>
      </w:r>
      <w:r>
        <w:rPr>
          <w:rFonts w:hint="eastAsia" w:ascii="宋体" w:hAnsi="宋体" w:cs="宋体"/>
          <w:color w:val="auto"/>
          <w:sz w:val="24"/>
          <w:lang w:eastAsia="zh-CN"/>
        </w:rPr>
        <w:t>招标</w:t>
      </w:r>
      <w:r>
        <w:rPr>
          <w:rFonts w:hint="eastAsia" w:ascii="宋体" w:hAnsi="宋体" w:cs="宋体"/>
          <w:color w:val="auto"/>
          <w:sz w:val="24"/>
        </w:rPr>
        <w:t>文件的规定，我单位郑重声明如下：</w:t>
      </w:r>
    </w:p>
    <w:p w14:paraId="5A64E7F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21867362">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3CB02BF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64223B65">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w:t>
      </w:r>
      <w:r>
        <w:rPr>
          <w:rFonts w:hint="eastAsia" w:asciiTheme="minorEastAsia" w:hAnsiTheme="minorEastAsia" w:eastAsiaTheme="minorEastAsia" w:cstheme="minorEastAsia"/>
          <w:bCs/>
          <w:color w:val="auto"/>
          <w:sz w:val="24"/>
          <w:szCs w:val="24"/>
          <w:lang w:val="en-US" w:eastAsia="zh-CN"/>
        </w:rPr>
        <w:t>采购</w:t>
      </w:r>
      <w:r>
        <w:rPr>
          <w:rFonts w:hint="eastAsia" w:ascii="宋体" w:hAnsi="宋体" w:cs="宋体"/>
          <w:color w:val="auto"/>
          <w:sz w:val="24"/>
        </w:rPr>
        <w:t>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0DFF17FA">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149A3161">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4B61AC36">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763F31A9">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1D48A861">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1417F859">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lang w:val="en-US" w:eastAsia="zh-CN"/>
        </w:rPr>
        <w:t>七、我单位承诺参与本项目时不存在围标、串标、陪标等违法行为</w:t>
      </w:r>
      <w:r>
        <w:rPr>
          <w:rFonts w:hint="eastAsia" w:ascii="宋体" w:hAnsi="宋体" w:cs="宋体"/>
          <w:color w:val="auto"/>
          <w:sz w:val="24"/>
        </w:rPr>
        <w:t xml:space="preserve"> </w:t>
      </w:r>
    </w:p>
    <w:p w14:paraId="671259A6">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2A3FCFA6">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5B697C89">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3B055510">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3EF7C52F">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43446278">
      <w:pPr>
        <w:adjustRightInd w:val="0"/>
        <w:snapToGrid w:val="0"/>
        <w:spacing w:line="360" w:lineRule="auto"/>
        <w:jc w:val="center"/>
        <w:rPr>
          <w:rFonts w:hint="eastAsia" w:ascii="宋体" w:hAnsi="宋体" w:cs="宋体"/>
          <w:b/>
          <w:color w:val="auto"/>
          <w:sz w:val="24"/>
          <w:szCs w:val="20"/>
        </w:rPr>
      </w:pPr>
    </w:p>
    <w:p w14:paraId="1346884B">
      <w:pPr>
        <w:adjustRightInd w:val="0"/>
        <w:snapToGrid w:val="0"/>
        <w:spacing w:line="360" w:lineRule="auto"/>
        <w:rPr>
          <w:rFonts w:hint="eastAsia" w:ascii="宋体" w:hAnsi="宋体" w:cs="宋体"/>
          <w:b/>
          <w:color w:val="auto"/>
          <w:sz w:val="24"/>
          <w:szCs w:val="20"/>
        </w:rPr>
      </w:pPr>
    </w:p>
    <w:p w14:paraId="4F9273E1">
      <w:pPr>
        <w:adjustRightInd w:val="0"/>
        <w:snapToGrid w:val="0"/>
        <w:spacing w:line="360" w:lineRule="auto"/>
        <w:rPr>
          <w:rFonts w:hint="eastAsia" w:ascii="宋体" w:hAnsi="宋体" w:cs="宋体"/>
          <w:b/>
          <w:color w:val="auto"/>
          <w:sz w:val="24"/>
          <w:szCs w:val="20"/>
        </w:rPr>
      </w:pPr>
    </w:p>
    <w:p w14:paraId="2D2F2399">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BD0C8C8">
      <w:pPr>
        <w:adjustRightInd w:val="0"/>
        <w:snapToGrid w:val="0"/>
        <w:spacing w:line="360" w:lineRule="auto"/>
        <w:jc w:val="center"/>
        <w:rPr>
          <w:rFonts w:hint="eastAsia" w:ascii="宋体" w:hAnsi="宋体" w:cs="宋体"/>
          <w:b/>
          <w:color w:val="auto"/>
          <w:sz w:val="24"/>
          <w:szCs w:val="20"/>
        </w:rPr>
      </w:pPr>
    </w:p>
    <w:p w14:paraId="565506E4">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478C91FB">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0851C70D">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786E0303">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39144592">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50CF0EAC">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7168109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9FD08FA">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753E4AC7">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575B8451">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32BCE7E4">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059336F3">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14:paraId="0EB9AB22">
      <w:pPr>
        <w:jc w:val="left"/>
        <w:rPr>
          <w:rFonts w:hint="eastAsia" w:ascii="宋体" w:hAnsi="宋体" w:eastAsia="宋体" w:cs="Times New Roman"/>
          <w:b w:val="0"/>
          <w:bCs w:val="0"/>
          <w:color w:val="auto"/>
          <w:kern w:val="2"/>
          <w:sz w:val="24"/>
          <w:szCs w:val="24"/>
          <w:lang w:val="en-US" w:eastAsia="zh-CN" w:bidi="ar-SA"/>
        </w:rPr>
      </w:pPr>
    </w:p>
    <w:p w14:paraId="452F65D0">
      <w:pPr>
        <w:jc w:val="left"/>
        <w:rPr>
          <w:rFonts w:hint="eastAsia" w:ascii="宋体" w:hAnsi="宋体" w:eastAsia="宋体" w:cs="Times New Roman"/>
          <w:b w:val="0"/>
          <w:bCs w:val="0"/>
          <w:color w:val="auto"/>
          <w:kern w:val="2"/>
          <w:sz w:val="24"/>
          <w:szCs w:val="24"/>
          <w:lang w:val="en-US" w:eastAsia="zh-CN" w:bidi="ar-SA"/>
        </w:rPr>
      </w:pPr>
    </w:p>
    <w:p w14:paraId="16A0C581">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4B1AE1FF">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3C2F2BC3">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14:paraId="6D90F51D">
      <w:pPr>
        <w:pStyle w:val="23"/>
        <w:rPr>
          <w:rFonts w:hint="eastAsia"/>
          <w:lang w:eastAsia="zh-CN"/>
        </w:rPr>
      </w:pPr>
    </w:p>
    <w:p w14:paraId="6BAEDE60">
      <w:pPr>
        <w:spacing w:before="120" w:beforeLines="50" w:after="120" w:afterLines="50" w:line="276" w:lineRule="auto"/>
        <w:jc w:val="center"/>
        <w:rPr>
          <w:b/>
          <w:color w:val="auto"/>
          <w:sz w:val="24"/>
        </w:rPr>
      </w:pPr>
      <w:r>
        <w:rPr>
          <w:b/>
          <w:color w:val="auto"/>
          <w:sz w:val="24"/>
        </w:rPr>
        <w:t>采购需求响应/偏离表</w:t>
      </w:r>
    </w:p>
    <w:p w14:paraId="3BCF85E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7"/>
        <w:tblW w:w="835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7"/>
        <w:gridCol w:w="1877"/>
        <w:gridCol w:w="1671"/>
        <w:gridCol w:w="1608"/>
        <w:gridCol w:w="1513"/>
        <w:gridCol w:w="1061"/>
      </w:tblGrid>
      <w:tr w14:paraId="572AF3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27" w:type="dxa"/>
            <w:noWrap w:val="0"/>
            <w:vAlign w:val="center"/>
          </w:tcPr>
          <w:p w14:paraId="684B6852">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877" w:type="dxa"/>
            <w:noWrap w:val="0"/>
            <w:vAlign w:val="center"/>
          </w:tcPr>
          <w:p w14:paraId="4257CF67">
            <w:pPr>
              <w:adjustRightInd w:val="0"/>
              <w:snapToGrid w:val="0"/>
              <w:spacing w:before="50" w:line="360" w:lineRule="auto"/>
              <w:ind w:left="-88" w:leftChars="-42"/>
              <w:jc w:val="center"/>
              <w:rPr>
                <w:color w:val="auto"/>
                <w:szCs w:val="21"/>
              </w:rPr>
            </w:pPr>
            <w:r>
              <w:rPr>
                <w:rFonts w:hint="eastAsia"/>
                <w:color w:val="auto"/>
                <w:szCs w:val="21"/>
                <w:lang w:eastAsia="zh-CN"/>
              </w:rPr>
              <w:t>招标</w:t>
            </w:r>
            <w:r>
              <w:rPr>
                <w:color w:val="auto"/>
                <w:szCs w:val="21"/>
              </w:rPr>
              <w:t>文件章节</w:t>
            </w:r>
            <w:r>
              <w:rPr>
                <w:bCs/>
                <w:color w:val="auto"/>
                <w:szCs w:val="21"/>
              </w:rPr>
              <w:t>条</w:t>
            </w:r>
            <w:r>
              <w:rPr>
                <w:color w:val="auto"/>
                <w:szCs w:val="21"/>
              </w:rPr>
              <w:t>款号</w:t>
            </w:r>
          </w:p>
        </w:tc>
        <w:tc>
          <w:tcPr>
            <w:tcW w:w="1671" w:type="dxa"/>
            <w:noWrap w:val="0"/>
            <w:vAlign w:val="top"/>
          </w:tcPr>
          <w:p w14:paraId="769CBF21">
            <w:pPr>
              <w:adjustRightInd w:val="0"/>
              <w:snapToGrid w:val="0"/>
              <w:spacing w:before="50" w:line="360" w:lineRule="auto"/>
              <w:jc w:val="center"/>
              <w:rPr>
                <w:color w:val="auto"/>
              </w:rPr>
            </w:pPr>
            <w:r>
              <w:rPr>
                <w:rFonts w:hint="eastAsia"/>
                <w:color w:val="auto"/>
                <w:lang w:eastAsia="zh-CN"/>
              </w:rPr>
              <w:t>招标</w:t>
            </w:r>
            <w:r>
              <w:rPr>
                <w:color w:val="auto"/>
              </w:rPr>
              <w:t>文件要求</w:t>
            </w:r>
          </w:p>
        </w:tc>
        <w:tc>
          <w:tcPr>
            <w:tcW w:w="1608" w:type="dxa"/>
            <w:noWrap w:val="0"/>
            <w:vAlign w:val="top"/>
          </w:tcPr>
          <w:p w14:paraId="09D4284B">
            <w:pPr>
              <w:adjustRightInd w:val="0"/>
              <w:snapToGrid w:val="0"/>
              <w:spacing w:before="50" w:line="360" w:lineRule="auto"/>
              <w:jc w:val="center"/>
              <w:rPr>
                <w:color w:val="auto"/>
              </w:rPr>
            </w:pPr>
            <w:r>
              <w:rPr>
                <w:color w:val="auto"/>
              </w:rPr>
              <w:t>投标文件应答</w:t>
            </w:r>
          </w:p>
        </w:tc>
        <w:tc>
          <w:tcPr>
            <w:tcW w:w="1513" w:type="dxa"/>
            <w:noWrap w:val="0"/>
            <w:vAlign w:val="center"/>
          </w:tcPr>
          <w:p w14:paraId="67C408D3">
            <w:pPr>
              <w:adjustRightInd w:val="0"/>
              <w:snapToGrid w:val="0"/>
              <w:spacing w:before="50" w:line="360" w:lineRule="auto"/>
              <w:ind w:left="-88" w:leftChars="-42"/>
              <w:jc w:val="center"/>
              <w:rPr>
                <w:color w:val="auto"/>
                <w:szCs w:val="21"/>
              </w:rPr>
            </w:pPr>
            <w:r>
              <w:rPr>
                <w:color w:val="auto"/>
                <w:szCs w:val="21"/>
              </w:rPr>
              <w:t>响应/偏离</w:t>
            </w:r>
          </w:p>
        </w:tc>
        <w:tc>
          <w:tcPr>
            <w:tcW w:w="1061" w:type="dxa"/>
            <w:noWrap w:val="0"/>
            <w:vAlign w:val="center"/>
          </w:tcPr>
          <w:p w14:paraId="333762B8">
            <w:pPr>
              <w:adjustRightInd w:val="0"/>
              <w:snapToGrid w:val="0"/>
              <w:spacing w:before="50" w:line="360" w:lineRule="auto"/>
              <w:ind w:left="-88" w:leftChars="-42"/>
              <w:jc w:val="center"/>
              <w:rPr>
                <w:color w:val="auto"/>
                <w:szCs w:val="21"/>
              </w:rPr>
            </w:pPr>
            <w:r>
              <w:rPr>
                <w:color w:val="auto"/>
                <w:szCs w:val="21"/>
              </w:rPr>
              <w:t>偏离说明</w:t>
            </w:r>
          </w:p>
        </w:tc>
      </w:tr>
      <w:tr w14:paraId="4E0917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1E1580C">
            <w:pPr>
              <w:adjustRightInd w:val="0"/>
              <w:snapToGrid w:val="0"/>
              <w:spacing w:before="50" w:line="360" w:lineRule="auto"/>
              <w:ind w:left="-88" w:leftChars="-42"/>
              <w:jc w:val="center"/>
              <w:rPr>
                <w:color w:val="auto"/>
                <w:szCs w:val="21"/>
              </w:rPr>
            </w:pPr>
          </w:p>
        </w:tc>
        <w:tc>
          <w:tcPr>
            <w:tcW w:w="1877" w:type="dxa"/>
            <w:noWrap w:val="0"/>
            <w:vAlign w:val="center"/>
          </w:tcPr>
          <w:p w14:paraId="774A1D01">
            <w:pPr>
              <w:adjustRightInd w:val="0"/>
              <w:snapToGrid w:val="0"/>
              <w:spacing w:before="50" w:line="360" w:lineRule="auto"/>
              <w:ind w:left="-88" w:leftChars="-42"/>
              <w:jc w:val="center"/>
              <w:rPr>
                <w:color w:val="auto"/>
                <w:szCs w:val="21"/>
              </w:rPr>
            </w:pPr>
          </w:p>
        </w:tc>
        <w:tc>
          <w:tcPr>
            <w:tcW w:w="1671" w:type="dxa"/>
            <w:noWrap w:val="0"/>
            <w:vAlign w:val="center"/>
          </w:tcPr>
          <w:p w14:paraId="5CC39C1D">
            <w:pPr>
              <w:adjustRightInd w:val="0"/>
              <w:snapToGrid w:val="0"/>
              <w:spacing w:before="50" w:line="360" w:lineRule="auto"/>
              <w:ind w:left="-88" w:leftChars="-42"/>
              <w:jc w:val="center"/>
              <w:rPr>
                <w:color w:val="auto"/>
                <w:szCs w:val="21"/>
              </w:rPr>
            </w:pPr>
          </w:p>
        </w:tc>
        <w:tc>
          <w:tcPr>
            <w:tcW w:w="1608" w:type="dxa"/>
            <w:noWrap w:val="0"/>
            <w:vAlign w:val="center"/>
          </w:tcPr>
          <w:p w14:paraId="4C313990">
            <w:pPr>
              <w:adjustRightInd w:val="0"/>
              <w:snapToGrid w:val="0"/>
              <w:spacing w:before="50" w:line="360" w:lineRule="auto"/>
              <w:ind w:left="-88" w:leftChars="-42"/>
              <w:jc w:val="center"/>
              <w:rPr>
                <w:color w:val="auto"/>
                <w:szCs w:val="21"/>
              </w:rPr>
            </w:pPr>
          </w:p>
        </w:tc>
        <w:tc>
          <w:tcPr>
            <w:tcW w:w="1513" w:type="dxa"/>
            <w:noWrap w:val="0"/>
            <w:vAlign w:val="center"/>
          </w:tcPr>
          <w:p w14:paraId="3282AE5D">
            <w:pPr>
              <w:adjustRightInd w:val="0"/>
              <w:snapToGrid w:val="0"/>
              <w:spacing w:before="50" w:line="360" w:lineRule="auto"/>
              <w:ind w:left="-88" w:leftChars="-42"/>
              <w:jc w:val="center"/>
              <w:rPr>
                <w:color w:val="auto"/>
                <w:szCs w:val="21"/>
              </w:rPr>
            </w:pPr>
          </w:p>
        </w:tc>
        <w:tc>
          <w:tcPr>
            <w:tcW w:w="1061" w:type="dxa"/>
            <w:noWrap w:val="0"/>
            <w:vAlign w:val="center"/>
          </w:tcPr>
          <w:p w14:paraId="031F9831">
            <w:pPr>
              <w:adjustRightInd w:val="0"/>
              <w:snapToGrid w:val="0"/>
              <w:spacing w:before="50" w:line="360" w:lineRule="auto"/>
              <w:ind w:left="-88" w:leftChars="-42"/>
              <w:jc w:val="center"/>
              <w:rPr>
                <w:color w:val="auto"/>
                <w:szCs w:val="21"/>
              </w:rPr>
            </w:pPr>
          </w:p>
        </w:tc>
      </w:tr>
      <w:tr w14:paraId="00015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77AAB4EE">
            <w:pPr>
              <w:adjustRightInd w:val="0"/>
              <w:snapToGrid w:val="0"/>
              <w:spacing w:before="50" w:line="360" w:lineRule="auto"/>
              <w:ind w:left="-88" w:leftChars="-42"/>
              <w:jc w:val="center"/>
              <w:rPr>
                <w:color w:val="auto"/>
                <w:szCs w:val="21"/>
              </w:rPr>
            </w:pPr>
          </w:p>
        </w:tc>
        <w:tc>
          <w:tcPr>
            <w:tcW w:w="1877" w:type="dxa"/>
            <w:noWrap w:val="0"/>
            <w:vAlign w:val="center"/>
          </w:tcPr>
          <w:p w14:paraId="50AEF049">
            <w:pPr>
              <w:adjustRightInd w:val="0"/>
              <w:snapToGrid w:val="0"/>
              <w:spacing w:before="50" w:line="360" w:lineRule="auto"/>
              <w:ind w:left="-88" w:leftChars="-42"/>
              <w:jc w:val="center"/>
              <w:rPr>
                <w:color w:val="auto"/>
                <w:szCs w:val="21"/>
              </w:rPr>
            </w:pPr>
          </w:p>
        </w:tc>
        <w:tc>
          <w:tcPr>
            <w:tcW w:w="1671" w:type="dxa"/>
            <w:noWrap w:val="0"/>
            <w:vAlign w:val="center"/>
          </w:tcPr>
          <w:p w14:paraId="2A7B0A3E">
            <w:pPr>
              <w:adjustRightInd w:val="0"/>
              <w:snapToGrid w:val="0"/>
              <w:spacing w:before="50" w:line="360" w:lineRule="auto"/>
              <w:ind w:left="-88" w:leftChars="-42"/>
              <w:jc w:val="center"/>
              <w:rPr>
                <w:color w:val="auto"/>
                <w:szCs w:val="21"/>
              </w:rPr>
            </w:pPr>
          </w:p>
        </w:tc>
        <w:tc>
          <w:tcPr>
            <w:tcW w:w="1608" w:type="dxa"/>
            <w:noWrap w:val="0"/>
            <w:vAlign w:val="center"/>
          </w:tcPr>
          <w:p w14:paraId="4A601AAF">
            <w:pPr>
              <w:adjustRightInd w:val="0"/>
              <w:snapToGrid w:val="0"/>
              <w:spacing w:before="50" w:line="360" w:lineRule="auto"/>
              <w:ind w:left="-88" w:leftChars="-42"/>
              <w:jc w:val="center"/>
              <w:rPr>
                <w:color w:val="auto"/>
                <w:szCs w:val="21"/>
              </w:rPr>
            </w:pPr>
          </w:p>
        </w:tc>
        <w:tc>
          <w:tcPr>
            <w:tcW w:w="1513" w:type="dxa"/>
            <w:noWrap w:val="0"/>
            <w:vAlign w:val="center"/>
          </w:tcPr>
          <w:p w14:paraId="25C22211">
            <w:pPr>
              <w:adjustRightInd w:val="0"/>
              <w:snapToGrid w:val="0"/>
              <w:spacing w:before="50" w:line="360" w:lineRule="auto"/>
              <w:ind w:left="-88" w:leftChars="-42"/>
              <w:jc w:val="center"/>
              <w:rPr>
                <w:color w:val="auto"/>
                <w:szCs w:val="21"/>
              </w:rPr>
            </w:pPr>
          </w:p>
        </w:tc>
        <w:tc>
          <w:tcPr>
            <w:tcW w:w="1061" w:type="dxa"/>
            <w:noWrap w:val="0"/>
            <w:vAlign w:val="center"/>
          </w:tcPr>
          <w:p w14:paraId="571A0A5F">
            <w:pPr>
              <w:adjustRightInd w:val="0"/>
              <w:snapToGrid w:val="0"/>
              <w:spacing w:before="50" w:line="360" w:lineRule="auto"/>
              <w:ind w:left="-88" w:leftChars="-42"/>
              <w:jc w:val="center"/>
              <w:rPr>
                <w:color w:val="auto"/>
                <w:szCs w:val="21"/>
              </w:rPr>
            </w:pPr>
          </w:p>
        </w:tc>
      </w:tr>
      <w:tr w14:paraId="7492E7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27" w:type="dxa"/>
            <w:noWrap w:val="0"/>
            <w:vAlign w:val="center"/>
          </w:tcPr>
          <w:p w14:paraId="5A3B4144">
            <w:pPr>
              <w:adjustRightInd w:val="0"/>
              <w:snapToGrid w:val="0"/>
              <w:spacing w:before="50" w:line="360" w:lineRule="auto"/>
              <w:ind w:left="-88" w:leftChars="-42"/>
              <w:jc w:val="center"/>
              <w:rPr>
                <w:color w:val="auto"/>
                <w:szCs w:val="21"/>
              </w:rPr>
            </w:pPr>
          </w:p>
        </w:tc>
        <w:tc>
          <w:tcPr>
            <w:tcW w:w="1877" w:type="dxa"/>
            <w:noWrap w:val="0"/>
            <w:vAlign w:val="center"/>
          </w:tcPr>
          <w:p w14:paraId="5678C7D8">
            <w:pPr>
              <w:adjustRightInd w:val="0"/>
              <w:snapToGrid w:val="0"/>
              <w:spacing w:before="50" w:line="360" w:lineRule="auto"/>
              <w:ind w:left="-88" w:leftChars="-42"/>
              <w:jc w:val="center"/>
              <w:rPr>
                <w:color w:val="auto"/>
                <w:szCs w:val="21"/>
              </w:rPr>
            </w:pPr>
          </w:p>
        </w:tc>
        <w:tc>
          <w:tcPr>
            <w:tcW w:w="1671" w:type="dxa"/>
            <w:noWrap w:val="0"/>
            <w:vAlign w:val="center"/>
          </w:tcPr>
          <w:p w14:paraId="7AD96B66">
            <w:pPr>
              <w:adjustRightInd w:val="0"/>
              <w:snapToGrid w:val="0"/>
              <w:spacing w:before="50" w:line="360" w:lineRule="auto"/>
              <w:ind w:left="-88" w:leftChars="-42"/>
              <w:jc w:val="center"/>
              <w:rPr>
                <w:color w:val="auto"/>
                <w:szCs w:val="21"/>
              </w:rPr>
            </w:pPr>
          </w:p>
        </w:tc>
        <w:tc>
          <w:tcPr>
            <w:tcW w:w="1608" w:type="dxa"/>
            <w:noWrap w:val="0"/>
            <w:vAlign w:val="center"/>
          </w:tcPr>
          <w:p w14:paraId="368E095E">
            <w:pPr>
              <w:adjustRightInd w:val="0"/>
              <w:snapToGrid w:val="0"/>
              <w:spacing w:before="50" w:line="360" w:lineRule="auto"/>
              <w:ind w:left="-88" w:leftChars="-42"/>
              <w:jc w:val="center"/>
              <w:rPr>
                <w:color w:val="auto"/>
                <w:szCs w:val="21"/>
              </w:rPr>
            </w:pPr>
          </w:p>
        </w:tc>
        <w:tc>
          <w:tcPr>
            <w:tcW w:w="1513" w:type="dxa"/>
            <w:noWrap w:val="0"/>
            <w:vAlign w:val="center"/>
          </w:tcPr>
          <w:p w14:paraId="1E861332">
            <w:pPr>
              <w:adjustRightInd w:val="0"/>
              <w:snapToGrid w:val="0"/>
              <w:spacing w:before="50" w:line="360" w:lineRule="auto"/>
              <w:ind w:left="-88" w:leftChars="-42"/>
              <w:jc w:val="center"/>
              <w:rPr>
                <w:color w:val="auto"/>
                <w:szCs w:val="21"/>
              </w:rPr>
            </w:pPr>
          </w:p>
        </w:tc>
        <w:tc>
          <w:tcPr>
            <w:tcW w:w="1061" w:type="dxa"/>
            <w:noWrap w:val="0"/>
            <w:vAlign w:val="center"/>
          </w:tcPr>
          <w:p w14:paraId="1DDFBBC9">
            <w:pPr>
              <w:adjustRightInd w:val="0"/>
              <w:snapToGrid w:val="0"/>
              <w:spacing w:before="50" w:line="360" w:lineRule="auto"/>
              <w:ind w:left="-88" w:leftChars="-42"/>
              <w:jc w:val="center"/>
              <w:rPr>
                <w:color w:val="auto"/>
                <w:szCs w:val="21"/>
              </w:rPr>
            </w:pPr>
          </w:p>
        </w:tc>
      </w:tr>
      <w:tr w14:paraId="5ECFAF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8357" w:type="dxa"/>
            <w:gridSpan w:val="6"/>
            <w:noWrap w:val="0"/>
            <w:vAlign w:val="center"/>
          </w:tcPr>
          <w:p w14:paraId="5564F7E0">
            <w:pPr>
              <w:rPr>
                <w:b/>
                <w:color w:val="auto"/>
              </w:rPr>
            </w:pPr>
          </w:p>
        </w:tc>
      </w:tr>
    </w:tbl>
    <w:p w14:paraId="58C809C7">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14:paraId="559CC365">
      <w:pPr>
        <w:adjustRightInd w:val="0"/>
        <w:snapToGrid w:val="0"/>
        <w:spacing w:before="50" w:line="360" w:lineRule="auto"/>
        <w:ind w:left="-88" w:leftChars="-42"/>
        <w:rPr>
          <w:rFonts w:hint="eastAsia"/>
          <w:color w:val="auto"/>
          <w:sz w:val="24"/>
        </w:rPr>
      </w:pPr>
      <w:r>
        <w:rPr>
          <w:color w:val="auto"/>
          <w:sz w:val="24"/>
        </w:rPr>
        <w:t>（1）投标人应根据文件第</w:t>
      </w:r>
      <w:r>
        <w:rPr>
          <w:rFonts w:hint="eastAsia"/>
          <w:color w:val="auto"/>
          <w:sz w:val="24"/>
          <w:lang w:val="en-US" w:eastAsia="zh-CN"/>
        </w:rPr>
        <w:t>二</w:t>
      </w:r>
      <w:r>
        <w:rPr>
          <w:color w:val="auto"/>
          <w:sz w:val="24"/>
        </w:rPr>
        <w:t>章中采购需求填写本表，逐条应答；</w:t>
      </w:r>
    </w:p>
    <w:p w14:paraId="5F3C4965">
      <w:pPr>
        <w:adjustRightInd w:val="0"/>
        <w:snapToGrid w:val="0"/>
        <w:spacing w:before="50" w:line="360" w:lineRule="auto"/>
        <w:ind w:left="-88" w:leftChars="-42"/>
        <w:rPr>
          <w:rFonts w:hint="eastAsia"/>
          <w:color w:val="auto"/>
          <w:sz w:val="24"/>
        </w:rPr>
      </w:pPr>
      <w:r>
        <w:rPr>
          <w:color w:val="auto"/>
          <w:sz w:val="24"/>
        </w:rPr>
        <w:t>（2）如不提供此表，则视为投标人不满足文件第</w:t>
      </w:r>
      <w:r>
        <w:rPr>
          <w:rFonts w:hint="eastAsia"/>
          <w:color w:val="auto"/>
          <w:sz w:val="24"/>
          <w:lang w:eastAsia="zh-CN"/>
        </w:rPr>
        <w:t>二</w:t>
      </w:r>
      <w:r>
        <w:rPr>
          <w:color w:val="auto"/>
          <w:sz w:val="24"/>
        </w:rPr>
        <w:t>章的所有条款要求，其投标无效；</w:t>
      </w:r>
    </w:p>
    <w:p w14:paraId="38E3C596">
      <w:pPr>
        <w:adjustRightInd w:val="0"/>
        <w:snapToGrid w:val="0"/>
        <w:spacing w:before="50" w:line="360" w:lineRule="auto"/>
        <w:ind w:left="-88" w:leftChars="-42"/>
        <w:rPr>
          <w:rFonts w:hint="eastAsia" w:eastAsia="宋体"/>
          <w:color w:val="auto"/>
          <w:lang w:eastAsia="zh-CN"/>
        </w:rPr>
      </w:pPr>
      <w:r>
        <w:rPr>
          <w:color w:val="auto"/>
          <w:sz w:val="24"/>
        </w:rPr>
        <w:t>（3）</w:t>
      </w:r>
      <w:r>
        <w:rPr>
          <w:rFonts w:hint="eastAsia"/>
          <w:color w:val="auto"/>
          <w:sz w:val="24"/>
          <w:lang w:eastAsia="zh-CN"/>
        </w:rPr>
        <w:t>本项目为最低价评分法，所有参数必须全部响应，并在响应表中逐条应答，如有任何一条负偏离，则视为无效投标</w:t>
      </w:r>
    </w:p>
    <w:p w14:paraId="7546D202">
      <w:pPr>
        <w:pStyle w:val="24"/>
        <w:rPr>
          <w:color w:val="auto"/>
        </w:rPr>
      </w:pPr>
    </w:p>
    <w:p w14:paraId="5EEA99A1">
      <w:pPr>
        <w:pStyle w:val="23"/>
        <w:rPr>
          <w:rFonts w:hint="eastAsia"/>
          <w:lang w:eastAsia="zh-CN"/>
        </w:rPr>
      </w:pPr>
    </w:p>
    <w:p w14:paraId="4F73B9B6"/>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24F79">
    <w:pPr>
      <w:pStyle w:val="12"/>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333E6">
                          <w:pPr>
                            <w:pStyle w:val="1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1333E6">
                    <w:pPr>
                      <w:pStyle w:val="12"/>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218840FB">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31645">
    <w:pPr>
      <w:pStyle w:val="12"/>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F0F794">
                          <w:pPr>
                            <w:pStyle w:val="12"/>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3F0F794">
                    <w:pPr>
                      <w:pStyle w:val="12"/>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67F2DAB5">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B277D">
    <w:pPr>
      <w:pStyle w:val="13"/>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6F2E55"/>
    <w:rsid w:val="00AE556A"/>
    <w:rsid w:val="01350E35"/>
    <w:rsid w:val="02390242"/>
    <w:rsid w:val="03BD0A4D"/>
    <w:rsid w:val="03E43FAE"/>
    <w:rsid w:val="04653F41"/>
    <w:rsid w:val="04AF1AE6"/>
    <w:rsid w:val="04B72FC8"/>
    <w:rsid w:val="04F57A38"/>
    <w:rsid w:val="050719CA"/>
    <w:rsid w:val="056B0EF3"/>
    <w:rsid w:val="06934BAA"/>
    <w:rsid w:val="06E91EC4"/>
    <w:rsid w:val="07731DE6"/>
    <w:rsid w:val="086F75C9"/>
    <w:rsid w:val="08E46EC6"/>
    <w:rsid w:val="08F36684"/>
    <w:rsid w:val="09C0303A"/>
    <w:rsid w:val="0A3F4F3C"/>
    <w:rsid w:val="0A6D3244"/>
    <w:rsid w:val="0A8A74D4"/>
    <w:rsid w:val="0B7B01AA"/>
    <w:rsid w:val="0CAD77BD"/>
    <w:rsid w:val="0CD87BD4"/>
    <w:rsid w:val="0E331420"/>
    <w:rsid w:val="0E3A4761"/>
    <w:rsid w:val="0EBC028B"/>
    <w:rsid w:val="0EDD1643"/>
    <w:rsid w:val="0FB9029C"/>
    <w:rsid w:val="10897B23"/>
    <w:rsid w:val="10914EF9"/>
    <w:rsid w:val="10B8663C"/>
    <w:rsid w:val="12080B62"/>
    <w:rsid w:val="12994AC5"/>
    <w:rsid w:val="129F447F"/>
    <w:rsid w:val="12C86253"/>
    <w:rsid w:val="14E40477"/>
    <w:rsid w:val="15060AC8"/>
    <w:rsid w:val="15125EAE"/>
    <w:rsid w:val="15675A4C"/>
    <w:rsid w:val="15B67DFF"/>
    <w:rsid w:val="163301F0"/>
    <w:rsid w:val="17F91BB8"/>
    <w:rsid w:val="19363828"/>
    <w:rsid w:val="193E7D91"/>
    <w:rsid w:val="1943608F"/>
    <w:rsid w:val="19E40286"/>
    <w:rsid w:val="19E91315"/>
    <w:rsid w:val="1AF56B46"/>
    <w:rsid w:val="1CE412C7"/>
    <w:rsid w:val="1D5071B5"/>
    <w:rsid w:val="1DD7486D"/>
    <w:rsid w:val="1E79119D"/>
    <w:rsid w:val="1F334F58"/>
    <w:rsid w:val="1F796B24"/>
    <w:rsid w:val="1FC602A8"/>
    <w:rsid w:val="1FE73549"/>
    <w:rsid w:val="2038045E"/>
    <w:rsid w:val="20AF0900"/>
    <w:rsid w:val="20B41DA7"/>
    <w:rsid w:val="21C61C7A"/>
    <w:rsid w:val="2383771E"/>
    <w:rsid w:val="23F374DB"/>
    <w:rsid w:val="24881A32"/>
    <w:rsid w:val="25266F96"/>
    <w:rsid w:val="267547DF"/>
    <w:rsid w:val="272B6E6C"/>
    <w:rsid w:val="27B626C7"/>
    <w:rsid w:val="27CF2BB7"/>
    <w:rsid w:val="2821285F"/>
    <w:rsid w:val="28501465"/>
    <w:rsid w:val="28E81B29"/>
    <w:rsid w:val="28FD390A"/>
    <w:rsid w:val="29B45A41"/>
    <w:rsid w:val="2A174DA9"/>
    <w:rsid w:val="2AB010A8"/>
    <w:rsid w:val="2AC66F99"/>
    <w:rsid w:val="2BD64A85"/>
    <w:rsid w:val="2C0A2E19"/>
    <w:rsid w:val="2C7642D0"/>
    <w:rsid w:val="2C8B7C6A"/>
    <w:rsid w:val="2CC97A35"/>
    <w:rsid w:val="2DD77C64"/>
    <w:rsid w:val="2DDA1E78"/>
    <w:rsid w:val="2DE00B8C"/>
    <w:rsid w:val="2EAC037F"/>
    <w:rsid w:val="2EB67A5C"/>
    <w:rsid w:val="302741D2"/>
    <w:rsid w:val="308B184D"/>
    <w:rsid w:val="309C1E01"/>
    <w:rsid w:val="30BB11DD"/>
    <w:rsid w:val="31F17CD1"/>
    <w:rsid w:val="324F4D43"/>
    <w:rsid w:val="33384C93"/>
    <w:rsid w:val="340F06E9"/>
    <w:rsid w:val="34C12F54"/>
    <w:rsid w:val="34F140E5"/>
    <w:rsid w:val="366241E2"/>
    <w:rsid w:val="3662711A"/>
    <w:rsid w:val="36B66AAC"/>
    <w:rsid w:val="36E47928"/>
    <w:rsid w:val="372F7378"/>
    <w:rsid w:val="37BA0809"/>
    <w:rsid w:val="397348CD"/>
    <w:rsid w:val="3A8E0AB7"/>
    <w:rsid w:val="3A994AB7"/>
    <w:rsid w:val="3B3B544D"/>
    <w:rsid w:val="3B654F2B"/>
    <w:rsid w:val="3BB72BAE"/>
    <w:rsid w:val="3BFC7D2B"/>
    <w:rsid w:val="3C7C799C"/>
    <w:rsid w:val="3C8A61A4"/>
    <w:rsid w:val="3D5E17FF"/>
    <w:rsid w:val="3DF93413"/>
    <w:rsid w:val="3DFD1951"/>
    <w:rsid w:val="3E1F0DA4"/>
    <w:rsid w:val="3E584E51"/>
    <w:rsid w:val="3E6E70D5"/>
    <w:rsid w:val="3EBE1ADE"/>
    <w:rsid w:val="403B4B34"/>
    <w:rsid w:val="4140452A"/>
    <w:rsid w:val="414D7889"/>
    <w:rsid w:val="41BB0BAE"/>
    <w:rsid w:val="4222229D"/>
    <w:rsid w:val="425629F5"/>
    <w:rsid w:val="4284152B"/>
    <w:rsid w:val="429A4992"/>
    <w:rsid w:val="435B161D"/>
    <w:rsid w:val="43B25DAC"/>
    <w:rsid w:val="44771DFD"/>
    <w:rsid w:val="45D569C3"/>
    <w:rsid w:val="479B74B7"/>
    <w:rsid w:val="48735221"/>
    <w:rsid w:val="48997E8F"/>
    <w:rsid w:val="49E92B05"/>
    <w:rsid w:val="4A354E62"/>
    <w:rsid w:val="4AEE1A11"/>
    <w:rsid w:val="4B7F39F4"/>
    <w:rsid w:val="4BAE646F"/>
    <w:rsid w:val="4C06451A"/>
    <w:rsid w:val="4CAC1559"/>
    <w:rsid w:val="4D754257"/>
    <w:rsid w:val="4DCD6AB3"/>
    <w:rsid w:val="4DDD6104"/>
    <w:rsid w:val="4EE7662F"/>
    <w:rsid w:val="50216DCD"/>
    <w:rsid w:val="50540C20"/>
    <w:rsid w:val="506258C6"/>
    <w:rsid w:val="51AC28BD"/>
    <w:rsid w:val="52183ACC"/>
    <w:rsid w:val="52ED531B"/>
    <w:rsid w:val="53B55872"/>
    <w:rsid w:val="54014B46"/>
    <w:rsid w:val="544055F2"/>
    <w:rsid w:val="54AD4386"/>
    <w:rsid w:val="5587625E"/>
    <w:rsid w:val="55D8243C"/>
    <w:rsid w:val="56483C8F"/>
    <w:rsid w:val="56C77AA7"/>
    <w:rsid w:val="581A7C72"/>
    <w:rsid w:val="583A4BD7"/>
    <w:rsid w:val="59C74B1F"/>
    <w:rsid w:val="5A886F59"/>
    <w:rsid w:val="604D5946"/>
    <w:rsid w:val="611B6B1B"/>
    <w:rsid w:val="62030FF0"/>
    <w:rsid w:val="62C222C2"/>
    <w:rsid w:val="62DB090C"/>
    <w:rsid w:val="632D7C40"/>
    <w:rsid w:val="64133D6A"/>
    <w:rsid w:val="64245572"/>
    <w:rsid w:val="64671DE0"/>
    <w:rsid w:val="66C30AF5"/>
    <w:rsid w:val="678E4F5D"/>
    <w:rsid w:val="67F3562A"/>
    <w:rsid w:val="680E122C"/>
    <w:rsid w:val="69CC4643"/>
    <w:rsid w:val="6A4E1D63"/>
    <w:rsid w:val="6AB9152E"/>
    <w:rsid w:val="6B592423"/>
    <w:rsid w:val="6C486FE4"/>
    <w:rsid w:val="6CA409DF"/>
    <w:rsid w:val="6DE375E4"/>
    <w:rsid w:val="6E8E5287"/>
    <w:rsid w:val="6FAC3B48"/>
    <w:rsid w:val="6FAD463B"/>
    <w:rsid w:val="6FBE332C"/>
    <w:rsid w:val="70CE0BC9"/>
    <w:rsid w:val="71554367"/>
    <w:rsid w:val="71584067"/>
    <w:rsid w:val="71F26E91"/>
    <w:rsid w:val="735201FF"/>
    <w:rsid w:val="737B50A4"/>
    <w:rsid w:val="73F40E72"/>
    <w:rsid w:val="74566F5C"/>
    <w:rsid w:val="750117A8"/>
    <w:rsid w:val="751301BD"/>
    <w:rsid w:val="755B2270"/>
    <w:rsid w:val="75E27514"/>
    <w:rsid w:val="7612420D"/>
    <w:rsid w:val="76920D75"/>
    <w:rsid w:val="76C47877"/>
    <w:rsid w:val="77423DFF"/>
    <w:rsid w:val="783B5EA9"/>
    <w:rsid w:val="783D7269"/>
    <w:rsid w:val="79EB699D"/>
    <w:rsid w:val="7A104828"/>
    <w:rsid w:val="7B0620DE"/>
    <w:rsid w:val="7BBF44BB"/>
    <w:rsid w:val="7BF15CE4"/>
    <w:rsid w:val="7C3A27E5"/>
    <w:rsid w:val="7D9727DD"/>
    <w:rsid w:val="7EFB4F6E"/>
    <w:rsid w:val="7F164138"/>
    <w:rsid w:val="7F1A5E95"/>
    <w:rsid w:val="7FFB0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annotation text"/>
    <w:basedOn w:val="1"/>
    <w:unhideWhenUsed/>
    <w:qFormat/>
    <w:uiPriority w:val="99"/>
    <w:pPr>
      <w:jc w:val="left"/>
    </w:pPr>
  </w:style>
  <w:style w:type="paragraph" w:styleId="8">
    <w:name w:val="Body Text"/>
    <w:basedOn w:val="1"/>
    <w:semiHidden/>
    <w:qFormat/>
    <w:uiPriority w:val="0"/>
    <w:rPr>
      <w:rFonts w:ascii="宋体" w:hAnsi="宋体" w:eastAsia="宋体" w:cs="宋体"/>
      <w:sz w:val="24"/>
      <w:szCs w:val="24"/>
      <w:lang w:val="en-US" w:eastAsia="en-US" w:bidi="ar-SA"/>
    </w:rPr>
  </w:style>
  <w:style w:type="paragraph" w:styleId="9">
    <w:name w:val="Body Text Indent"/>
    <w:basedOn w:val="1"/>
    <w:next w:val="10"/>
    <w:qFormat/>
    <w:uiPriority w:val="99"/>
    <w:pPr>
      <w:spacing w:line="400" w:lineRule="exact"/>
      <w:ind w:left="630"/>
    </w:pPr>
    <w:rPr>
      <w:rFonts w:ascii="楷体_GB2312"/>
      <w:sz w:val="30"/>
      <w:szCs w:val="30"/>
    </w:rPr>
  </w:style>
  <w:style w:type="paragraph" w:styleId="10">
    <w:name w:val="annotation subject"/>
    <w:basedOn w:val="7"/>
    <w:next w:val="1"/>
    <w:unhideWhenUsed/>
    <w:qFormat/>
    <w:uiPriority w:val="99"/>
    <w:rPr>
      <w:b/>
      <w:bCs/>
    </w:rPr>
  </w:style>
  <w:style w:type="paragraph" w:styleId="11">
    <w:name w:val="Date"/>
    <w:basedOn w:val="1"/>
    <w:next w:val="1"/>
    <w:qFormat/>
    <w:uiPriority w:val="0"/>
    <w:rPr>
      <w:color w:val="000000"/>
      <w:kern w:val="0"/>
      <w:sz w:val="30"/>
    </w:rPr>
  </w:style>
  <w:style w:type="paragraph" w:styleId="12">
    <w:name w:val="footer"/>
    <w:basedOn w:val="1"/>
    <w:qFormat/>
    <w:uiPriority w:val="0"/>
    <w:pPr>
      <w:tabs>
        <w:tab w:val="center" w:pos="4153"/>
        <w:tab w:val="right" w:pos="8306"/>
      </w:tabs>
      <w:snapToGrid w:val="0"/>
      <w:jc w:val="left"/>
    </w:pPr>
    <w:rPr>
      <w:kern w:val="0"/>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spacing w:after="120" w:line="480" w:lineRule="auto"/>
    </w:pPr>
  </w:style>
  <w:style w:type="paragraph" w:styleId="15">
    <w:name w:val="Normal (Web)"/>
    <w:basedOn w:val="1"/>
    <w:qFormat/>
    <w:uiPriority w:val="0"/>
    <w:rPr>
      <w:sz w:val="24"/>
    </w:rPr>
  </w:style>
  <w:style w:type="paragraph" w:styleId="16">
    <w:name w:val="Body Text First Indent 2"/>
    <w:basedOn w:val="9"/>
    <w:qFormat/>
    <w:uiPriority w:val="0"/>
    <w:pPr>
      <w:overflowPunct w:val="0"/>
      <w:adjustRightInd w:val="0"/>
      <w:spacing w:line="500" w:lineRule="exact"/>
      <w:ind w:firstLine="420" w:firstLineChars="200"/>
      <w:textAlignment w:val="baseline"/>
    </w:pPr>
    <w:rPr>
      <w:rFonts w:eastAsia="仿宋_GB2312"/>
      <w:kern w:val="28"/>
      <w:sz w:val="28"/>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0"/>
    <w:rPr>
      <w:b/>
    </w:rPr>
  </w:style>
  <w:style w:type="paragraph" w:customStyle="1" w:styleId="2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22">
    <w:name w:val="大标题"/>
    <w:basedOn w:val="1"/>
    <w:next w:val="16"/>
    <w:qFormat/>
    <w:uiPriority w:val="0"/>
    <w:pPr>
      <w:jc w:val="center"/>
    </w:pPr>
    <w:rPr>
      <w:rFonts w:ascii="Arial" w:hAnsi="Arial" w:eastAsia="宋体"/>
      <w:b/>
      <w:sz w:val="28"/>
      <w:szCs w:val="24"/>
    </w:rPr>
  </w:style>
  <w:style w:type="paragraph" w:customStyle="1" w:styleId="23">
    <w:name w:val="列出段落1"/>
    <w:basedOn w:val="1"/>
    <w:qFormat/>
    <w:uiPriority w:val="99"/>
    <w:pPr>
      <w:ind w:firstLine="420" w:firstLineChars="200"/>
    </w:pPr>
  </w:style>
  <w:style w:type="paragraph" w:customStyle="1" w:styleId="2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25">
    <w:name w:val="List Paragraph"/>
    <w:basedOn w:val="1"/>
    <w:qFormat/>
    <w:uiPriority w:val="34"/>
    <w:pPr>
      <w:ind w:firstLine="420" w:firstLineChars="200"/>
    </w:pPr>
    <w:rPr>
      <w:rFonts w:ascii="Calibri" w:hAnsi="Calibri"/>
      <w:szCs w:val="22"/>
    </w:rPr>
  </w:style>
  <w:style w:type="paragraph" w:customStyle="1" w:styleId="26">
    <w:name w:val="列出段落2"/>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11414</Words>
  <Characters>11861</Characters>
  <Lines>0</Lines>
  <Paragraphs>0</Paragraphs>
  <TotalTime>0</TotalTime>
  <ScaleCrop>false</ScaleCrop>
  <LinksUpToDate>false</LinksUpToDate>
  <CharactersWithSpaces>12363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2026-04-21T09:27:28Z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693F405580CA4EF791A186399C2A22A8_13</vt:lpwstr>
  </property>
  <property fmtid="{D5CDD505-2E9C-101B-9397-08002B2CF9AE}" pid="4" name="KSOTemplateDocerSaveRecord">
    <vt:lpwstr>eyJoZGlkIjoiOWU3YmMxNGQ0NDE0NTRiYjQ3MWFkZjk1MWM2MTc2NWEiLCJ1c2VySWQiOiI0NDIzNjcyODQifQ==</vt:lpwstr>
  </property>
</Properties>
</file>